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FE85A" w14:textId="77777777" w:rsidR="00141BD2" w:rsidRPr="00190252" w:rsidRDefault="00141BD2" w:rsidP="00141BD2">
      <w:pPr>
        <w:spacing w:after="120" w:line="360" w:lineRule="auto"/>
        <w:jc w:val="both"/>
        <w:rPr>
          <w:rFonts w:ascii="Arial" w:hAnsi="Arial" w:cs="Arial"/>
          <w:b/>
          <w:sz w:val="24"/>
          <w:szCs w:val="24"/>
        </w:rPr>
      </w:pPr>
      <w:r w:rsidRPr="00190252">
        <w:rPr>
          <w:rFonts w:ascii="Arial" w:hAnsi="Arial" w:cs="Arial"/>
          <w:b/>
          <w:sz w:val="24"/>
          <w:szCs w:val="24"/>
        </w:rPr>
        <w:t>V.1 - Estrutura Física e Recursos Materiais:</w:t>
      </w:r>
    </w:p>
    <w:p w14:paraId="0341BB3C" w14:textId="77777777" w:rsidR="00141BD2" w:rsidRPr="0067622F" w:rsidRDefault="00141BD2" w:rsidP="00141BD2">
      <w:pPr>
        <w:spacing w:after="120" w:line="360" w:lineRule="auto"/>
        <w:ind w:firstLine="708"/>
        <w:jc w:val="both"/>
        <w:rPr>
          <w:rFonts w:ascii="Arial" w:hAnsi="Arial" w:cs="Arial"/>
          <w:bCs/>
          <w:sz w:val="20"/>
          <w:szCs w:val="20"/>
        </w:rPr>
      </w:pPr>
      <w:r w:rsidRPr="0067622F">
        <w:rPr>
          <w:rFonts w:ascii="Arial" w:hAnsi="Arial" w:cs="Arial"/>
          <w:bCs/>
          <w:sz w:val="20"/>
          <w:szCs w:val="20"/>
        </w:rPr>
        <w:t xml:space="preserve">O </w:t>
      </w:r>
      <w:r w:rsidRPr="00792187">
        <w:rPr>
          <w:rFonts w:ascii="Arial" w:hAnsi="Arial" w:cs="Arial"/>
          <w:bCs/>
          <w:color w:val="FF0000"/>
          <w:sz w:val="20"/>
          <w:szCs w:val="20"/>
        </w:rPr>
        <w:t xml:space="preserve">Complexo Industrial de Uberaba </w:t>
      </w:r>
      <w:r w:rsidRPr="0067622F">
        <w:rPr>
          <w:rFonts w:ascii="Arial" w:hAnsi="Arial" w:cs="Arial"/>
          <w:bCs/>
          <w:sz w:val="20"/>
          <w:szCs w:val="20"/>
        </w:rPr>
        <w:t>é dotado de Ambulatório Médico com a seguinte estrutura física:</w:t>
      </w:r>
    </w:p>
    <w:p w14:paraId="0BB8ADEA"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Sala de Emergência:</w:t>
      </w:r>
      <w:r w:rsidRPr="0067622F">
        <w:rPr>
          <w:rFonts w:ascii="Arial" w:hAnsi="Arial" w:cs="Arial"/>
          <w:bCs/>
          <w:sz w:val="20"/>
          <w:szCs w:val="20"/>
        </w:rPr>
        <w:t xml:space="preserve"> Local destinado ao atendimento de situações de urgência e emergência, realização de procedimentos.</w:t>
      </w:r>
    </w:p>
    <w:p w14:paraId="46F49791"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Consultório Médico:</w:t>
      </w:r>
      <w:r w:rsidRPr="0067622F">
        <w:rPr>
          <w:rFonts w:ascii="Arial" w:hAnsi="Arial" w:cs="Arial"/>
          <w:bCs/>
          <w:sz w:val="20"/>
          <w:szCs w:val="20"/>
        </w:rPr>
        <w:t xml:space="preserve"> Local destinado à realização de exames médicos ocupacionais, assistenciais e outras avaliações clínicas.</w:t>
      </w:r>
    </w:p>
    <w:p w14:paraId="306770EE" w14:textId="77777777" w:rsidR="00141BD2" w:rsidRPr="0067622F" w:rsidRDefault="00141BD2" w:rsidP="00141BD2">
      <w:pPr>
        <w:numPr>
          <w:ilvl w:val="0"/>
          <w:numId w:val="2"/>
        </w:numPr>
        <w:spacing w:after="120" w:line="360" w:lineRule="auto"/>
        <w:ind w:left="714" w:hanging="357"/>
        <w:jc w:val="both"/>
        <w:rPr>
          <w:rFonts w:ascii="Arial" w:hAnsi="Arial" w:cs="Arial"/>
          <w:bCs/>
          <w:sz w:val="20"/>
          <w:szCs w:val="20"/>
        </w:rPr>
      </w:pPr>
      <w:r w:rsidRPr="0067622F">
        <w:rPr>
          <w:rFonts w:ascii="Arial" w:hAnsi="Arial" w:cs="Arial"/>
          <w:b/>
          <w:bCs/>
          <w:sz w:val="20"/>
          <w:szCs w:val="20"/>
        </w:rPr>
        <w:t>Consultório Médico 2:</w:t>
      </w:r>
      <w:r w:rsidRPr="0067622F">
        <w:rPr>
          <w:rFonts w:ascii="Arial" w:hAnsi="Arial" w:cs="Arial"/>
          <w:bCs/>
          <w:sz w:val="20"/>
          <w:szCs w:val="20"/>
        </w:rPr>
        <w:t xml:space="preserve"> Local destinado à realização de exames médicos ocupacionais, assistenciai</w:t>
      </w:r>
      <w:r w:rsidR="001B0E37" w:rsidRPr="0067622F">
        <w:rPr>
          <w:rFonts w:ascii="Arial" w:hAnsi="Arial" w:cs="Arial"/>
          <w:bCs/>
          <w:sz w:val="20"/>
          <w:szCs w:val="20"/>
        </w:rPr>
        <w:t>s e outras avaliações clínicas.</w:t>
      </w:r>
    </w:p>
    <w:p w14:paraId="0B642E29"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 xml:space="preserve">Sala de </w:t>
      </w:r>
      <w:proofErr w:type="spellStart"/>
      <w:r w:rsidRPr="0067622F">
        <w:rPr>
          <w:rFonts w:ascii="Arial" w:hAnsi="Arial" w:cs="Arial"/>
          <w:b/>
          <w:bCs/>
          <w:sz w:val="20"/>
          <w:szCs w:val="20"/>
        </w:rPr>
        <w:t>Pré</w:t>
      </w:r>
      <w:proofErr w:type="spellEnd"/>
      <w:r w:rsidRPr="0067622F">
        <w:rPr>
          <w:rFonts w:ascii="Arial" w:hAnsi="Arial" w:cs="Arial"/>
          <w:b/>
          <w:bCs/>
          <w:sz w:val="20"/>
          <w:szCs w:val="20"/>
        </w:rPr>
        <w:t>-Atendimento:</w:t>
      </w:r>
      <w:r w:rsidRPr="0067622F">
        <w:rPr>
          <w:rFonts w:ascii="Arial" w:hAnsi="Arial" w:cs="Arial"/>
          <w:bCs/>
          <w:sz w:val="20"/>
          <w:szCs w:val="20"/>
        </w:rPr>
        <w:t xml:space="preserve"> Local destinado à aferição de sinais vitais, medidas antropométricas, e outros procedimentos que precedem o exame médico ocupacional. </w:t>
      </w:r>
    </w:p>
    <w:p w14:paraId="1D4B8A40"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Sala de Fonoaudiologia:</w:t>
      </w:r>
      <w:r w:rsidRPr="0067622F">
        <w:rPr>
          <w:rFonts w:ascii="Arial" w:hAnsi="Arial" w:cs="Arial"/>
          <w:bCs/>
          <w:sz w:val="20"/>
          <w:szCs w:val="20"/>
        </w:rPr>
        <w:t xml:space="preserve"> Local destinado à realização de exames de audiometria.</w:t>
      </w:r>
    </w:p>
    <w:p w14:paraId="76038B4B"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Expurgo:</w:t>
      </w:r>
      <w:r w:rsidRPr="0067622F">
        <w:rPr>
          <w:rFonts w:ascii="Arial" w:hAnsi="Arial" w:cs="Arial"/>
          <w:bCs/>
          <w:sz w:val="20"/>
          <w:szCs w:val="20"/>
        </w:rPr>
        <w:t xml:space="preserve"> Local destinado ao recebimento e assepsia de materiais e instrumentos.</w:t>
      </w:r>
    </w:p>
    <w:p w14:paraId="0103B87B"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Depósito de Materiais de Limpeza:</w:t>
      </w:r>
      <w:r w:rsidRPr="0067622F">
        <w:rPr>
          <w:rFonts w:ascii="Arial" w:hAnsi="Arial" w:cs="Arial"/>
          <w:bCs/>
          <w:sz w:val="20"/>
          <w:szCs w:val="20"/>
        </w:rPr>
        <w:t xml:space="preserve"> Local destinado ao armazenamento dos materiais de limpeza.</w:t>
      </w:r>
    </w:p>
    <w:p w14:paraId="06C90075" w14:textId="77777777" w:rsidR="00141BD2" w:rsidRPr="0067622F" w:rsidRDefault="00141BD2" w:rsidP="00141BD2">
      <w:pPr>
        <w:numPr>
          <w:ilvl w:val="0"/>
          <w:numId w:val="2"/>
        </w:numPr>
        <w:spacing w:after="120" w:line="360" w:lineRule="auto"/>
        <w:jc w:val="both"/>
        <w:rPr>
          <w:rFonts w:ascii="Arial" w:hAnsi="Arial" w:cs="Arial"/>
          <w:bCs/>
          <w:sz w:val="20"/>
          <w:szCs w:val="20"/>
        </w:rPr>
      </w:pPr>
      <w:r w:rsidRPr="0067622F">
        <w:rPr>
          <w:rFonts w:ascii="Arial" w:hAnsi="Arial" w:cs="Arial"/>
          <w:b/>
          <w:bCs/>
          <w:sz w:val="20"/>
          <w:szCs w:val="20"/>
        </w:rPr>
        <w:t>Depósito Temporário de Resíduos:</w:t>
      </w:r>
      <w:r w:rsidRPr="0067622F">
        <w:rPr>
          <w:rFonts w:ascii="Arial" w:hAnsi="Arial" w:cs="Arial"/>
          <w:bCs/>
          <w:sz w:val="20"/>
          <w:szCs w:val="20"/>
        </w:rPr>
        <w:t xml:space="preserve"> Local destinado ao armazenamento temporário dos resíduos do serviço de saúde.</w:t>
      </w:r>
    </w:p>
    <w:p w14:paraId="68233DB4" w14:textId="77777777" w:rsidR="00141BD2" w:rsidRPr="0067622F" w:rsidRDefault="00141BD2" w:rsidP="00141BD2">
      <w:pPr>
        <w:spacing w:after="120" w:line="360" w:lineRule="auto"/>
        <w:ind w:firstLine="708"/>
        <w:jc w:val="both"/>
        <w:rPr>
          <w:rFonts w:ascii="Arial" w:hAnsi="Arial" w:cs="Arial"/>
          <w:bCs/>
          <w:sz w:val="20"/>
          <w:szCs w:val="20"/>
        </w:rPr>
      </w:pPr>
    </w:p>
    <w:p w14:paraId="2B030662" w14:textId="77777777" w:rsidR="00141BD2" w:rsidRPr="0067622F" w:rsidRDefault="00141BD2" w:rsidP="00141BD2">
      <w:pPr>
        <w:spacing w:after="120" w:line="360" w:lineRule="auto"/>
        <w:ind w:firstLine="708"/>
        <w:jc w:val="both"/>
        <w:rPr>
          <w:rFonts w:ascii="Arial" w:hAnsi="Arial" w:cs="Arial"/>
          <w:bCs/>
          <w:sz w:val="20"/>
          <w:szCs w:val="20"/>
        </w:rPr>
      </w:pPr>
      <w:r w:rsidRPr="0067622F">
        <w:rPr>
          <w:rFonts w:ascii="Arial" w:hAnsi="Arial" w:cs="Arial"/>
          <w:bCs/>
          <w:sz w:val="20"/>
          <w:szCs w:val="20"/>
        </w:rPr>
        <w:t>O Ambulatório Médico é dotado de recursos para atendimento ambulatorial e emergencial, dentre os quais os abaixo relacionados:</w:t>
      </w:r>
    </w:p>
    <w:p w14:paraId="2E18B39F"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2 Ambulâncias: tipo B com atendimento aos requisitos da Portaria nº 2.048 de 5/11/2002, do Ministério da Saúde, DOU 219, (ambulância de suporte básico);</w:t>
      </w:r>
    </w:p>
    <w:p w14:paraId="04AFA252"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Oxigênio medicinal sendo um total de 40 pontos distribuídos no ambulatório médico (sala de emergência / Consultório médico / sala de apoio / ambulância);</w:t>
      </w:r>
    </w:p>
    <w:p w14:paraId="60F2E92C"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 xml:space="preserve">Desfibrilador externo </w:t>
      </w:r>
      <w:proofErr w:type="spellStart"/>
      <w:proofErr w:type="gramStart"/>
      <w:r w:rsidRPr="0067622F">
        <w:rPr>
          <w:rFonts w:ascii="Arial" w:hAnsi="Arial" w:cs="Arial"/>
          <w:bCs/>
          <w:sz w:val="20"/>
          <w:szCs w:val="20"/>
        </w:rPr>
        <w:t>semi-automático</w:t>
      </w:r>
      <w:proofErr w:type="spellEnd"/>
      <w:proofErr w:type="gramEnd"/>
      <w:r w:rsidRPr="0067622F">
        <w:rPr>
          <w:rFonts w:ascii="Arial" w:hAnsi="Arial" w:cs="Arial"/>
          <w:bCs/>
          <w:sz w:val="20"/>
          <w:szCs w:val="20"/>
        </w:rPr>
        <w:t xml:space="preserve"> (DEA);</w:t>
      </w:r>
    </w:p>
    <w:p w14:paraId="61E81E77" w14:textId="77777777" w:rsidR="00141BD2" w:rsidRPr="0067622F" w:rsidRDefault="00141BD2" w:rsidP="00141BD2">
      <w:pPr>
        <w:numPr>
          <w:ilvl w:val="0"/>
          <w:numId w:val="1"/>
        </w:numPr>
        <w:spacing w:after="120" w:line="360" w:lineRule="auto"/>
        <w:jc w:val="both"/>
        <w:rPr>
          <w:rFonts w:ascii="Arial" w:hAnsi="Arial" w:cs="Arial"/>
          <w:bCs/>
          <w:sz w:val="20"/>
          <w:szCs w:val="20"/>
        </w:rPr>
      </w:pPr>
      <w:proofErr w:type="spellStart"/>
      <w:r w:rsidRPr="0067622F">
        <w:rPr>
          <w:rFonts w:ascii="Arial" w:hAnsi="Arial" w:cs="Arial"/>
          <w:bCs/>
          <w:sz w:val="20"/>
          <w:szCs w:val="20"/>
        </w:rPr>
        <w:t>Oximêtro</w:t>
      </w:r>
      <w:proofErr w:type="spellEnd"/>
      <w:r w:rsidRPr="0067622F">
        <w:rPr>
          <w:rFonts w:ascii="Arial" w:hAnsi="Arial" w:cs="Arial"/>
          <w:bCs/>
          <w:sz w:val="20"/>
          <w:szCs w:val="20"/>
        </w:rPr>
        <w:t xml:space="preserve"> de dedo </w:t>
      </w:r>
    </w:p>
    <w:p w14:paraId="20E5A123"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Cânulas orofaríngeas e endotraqueais;</w:t>
      </w:r>
    </w:p>
    <w:p w14:paraId="24637064"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Laringoscópios;</w:t>
      </w:r>
    </w:p>
    <w:p w14:paraId="15DB7A68"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 xml:space="preserve">Respiradores tipo </w:t>
      </w:r>
      <w:proofErr w:type="spellStart"/>
      <w:r w:rsidRPr="0067622F">
        <w:rPr>
          <w:rFonts w:ascii="Arial" w:hAnsi="Arial" w:cs="Arial"/>
          <w:bCs/>
          <w:sz w:val="20"/>
          <w:szCs w:val="20"/>
        </w:rPr>
        <w:t>Ambú</w:t>
      </w:r>
      <w:proofErr w:type="spellEnd"/>
      <w:r w:rsidRPr="0067622F">
        <w:rPr>
          <w:rFonts w:ascii="Arial" w:hAnsi="Arial" w:cs="Arial"/>
          <w:bCs/>
          <w:sz w:val="20"/>
          <w:szCs w:val="20"/>
        </w:rPr>
        <w:t>;</w:t>
      </w:r>
    </w:p>
    <w:p w14:paraId="1FF3A599"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Aspiradores de secreções;</w:t>
      </w:r>
    </w:p>
    <w:p w14:paraId="6124B2CD"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Pranchas de resgate na ambulância;</w:t>
      </w:r>
    </w:p>
    <w:p w14:paraId="57EC429B"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Colar cervical diversos tamanhos;</w:t>
      </w:r>
    </w:p>
    <w:p w14:paraId="1DC40FE0"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lastRenderedPageBreak/>
        <w:t>Talas de imobilização de membros;</w:t>
      </w:r>
    </w:p>
    <w:p w14:paraId="05A1B682"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 xml:space="preserve">Esfigmomanômetros, estetoscópios, otoscópios, termômetros e outros equipamentos médicos; </w:t>
      </w:r>
    </w:p>
    <w:p w14:paraId="27E33A32" w14:textId="77777777" w:rsidR="00141BD2" w:rsidRPr="0067622F" w:rsidRDefault="000141FC"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Balança antropométrica</w:t>
      </w:r>
      <w:r w:rsidR="00141BD2" w:rsidRPr="0067622F">
        <w:rPr>
          <w:rFonts w:ascii="Arial" w:hAnsi="Arial" w:cs="Arial"/>
          <w:bCs/>
          <w:sz w:val="20"/>
          <w:szCs w:val="20"/>
        </w:rPr>
        <w:t>;</w:t>
      </w:r>
    </w:p>
    <w:p w14:paraId="533C6701"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Material para realização de curativos simples;</w:t>
      </w:r>
    </w:p>
    <w:p w14:paraId="4F487F35" w14:textId="77777777" w:rsidR="00141BD2" w:rsidRPr="0067622F" w:rsidRDefault="00141BD2" w:rsidP="00141BD2">
      <w:pPr>
        <w:numPr>
          <w:ilvl w:val="0"/>
          <w:numId w:val="1"/>
        </w:numPr>
        <w:spacing w:after="120" w:line="360" w:lineRule="auto"/>
        <w:jc w:val="both"/>
        <w:rPr>
          <w:rFonts w:ascii="Arial" w:hAnsi="Arial" w:cs="Arial"/>
          <w:bCs/>
          <w:sz w:val="20"/>
          <w:szCs w:val="20"/>
        </w:rPr>
      </w:pPr>
      <w:r w:rsidRPr="0067622F">
        <w:rPr>
          <w:rFonts w:ascii="Arial" w:hAnsi="Arial" w:cs="Arial"/>
          <w:bCs/>
          <w:sz w:val="20"/>
          <w:szCs w:val="20"/>
        </w:rPr>
        <w:t xml:space="preserve">Medicações diversas para atendimento emergencial. </w:t>
      </w:r>
    </w:p>
    <w:p w14:paraId="2B44F909" w14:textId="77777777" w:rsidR="00141BD2" w:rsidRPr="0067622F" w:rsidRDefault="00141BD2" w:rsidP="00141BD2">
      <w:pPr>
        <w:pStyle w:val="PargrafodaLista"/>
        <w:spacing w:after="120" w:line="360" w:lineRule="auto"/>
        <w:ind w:left="0"/>
        <w:jc w:val="both"/>
        <w:rPr>
          <w:rFonts w:ascii="Arial" w:hAnsi="Arial" w:cs="Arial"/>
          <w:b/>
          <w:sz w:val="20"/>
          <w:szCs w:val="20"/>
        </w:rPr>
      </w:pPr>
    </w:p>
    <w:p w14:paraId="10128D83" w14:textId="02EBCAF2" w:rsidR="00141BD2" w:rsidRPr="0067622F" w:rsidRDefault="00141BD2" w:rsidP="00141BD2">
      <w:pPr>
        <w:spacing w:after="120" w:line="360" w:lineRule="auto"/>
        <w:jc w:val="both"/>
        <w:rPr>
          <w:rFonts w:ascii="Arial" w:hAnsi="Arial" w:cs="Arial"/>
          <w:b/>
        </w:rPr>
      </w:pPr>
      <w:r w:rsidRPr="0067622F">
        <w:rPr>
          <w:rFonts w:ascii="Arial" w:hAnsi="Arial" w:cs="Arial"/>
          <w:b/>
        </w:rPr>
        <w:t>V.2 - Relação dos Profissionais de Saúde:</w:t>
      </w:r>
    </w:p>
    <w:p w14:paraId="548D338B" w14:textId="77777777" w:rsidR="00141BD2" w:rsidRPr="0067622F" w:rsidRDefault="00141BD2" w:rsidP="00141BD2">
      <w:pPr>
        <w:spacing w:after="120" w:line="360" w:lineRule="auto"/>
        <w:jc w:val="both"/>
        <w:rPr>
          <w:rFonts w:ascii="Arial" w:hAnsi="Arial" w:cs="Arial"/>
          <w:bCs/>
          <w:sz w:val="20"/>
          <w:szCs w:val="20"/>
        </w:rPr>
      </w:pPr>
      <w:r w:rsidRPr="0067622F">
        <w:rPr>
          <w:rFonts w:ascii="Arial" w:hAnsi="Arial" w:cs="Arial"/>
          <w:bCs/>
          <w:sz w:val="20"/>
          <w:szCs w:val="20"/>
        </w:rPr>
        <w:t>O trabalho da equipe de enfermagem é distribuído conforme abaixo:</w:t>
      </w:r>
    </w:p>
    <w:p w14:paraId="47FF515C" w14:textId="77777777" w:rsidR="00141BD2" w:rsidRPr="0067622F" w:rsidRDefault="00141BD2" w:rsidP="00141BD2">
      <w:pPr>
        <w:numPr>
          <w:ilvl w:val="0"/>
          <w:numId w:val="6"/>
        </w:numPr>
        <w:spacing w:after="120" w:line="360" w:lineRule="auto"/>
        <w:jc w:val="both"/>
        <w:rPr>
          <w:rFonts w:ascii="Arial" w:hAnsi="Arial" w:cs="Arial"/>
          <w:bCs/>
          <w:sz w:val="20"/>
          <w:szCs w:val="20"/>
        </w:rPr>
      </w:pPr>
      <w:r w:rsidRPr="0067622F">
        <w:rPr>
          <w:rFonts w:ascii="Arial" w:hAnsi="Arial" w:cs="Arial"/>
          <w:bCs/>
          <w:sz w:val="20"/>
          <w:szCs w:val="20"/>
        </w:rPr>
        <w:t xml:space="preserve">01 Enfermeiro do trabalho em horário administrativo (segunda a sexta das 08:00hs </w:t>
      </w:r>
      <w:proofErr w:type="gramStart"/>
      <w:r w:rsidRPr="0067622F">
        <w:rPr>
          <w:rFonts w:ascii="Arial" w:hAnsi="Arial" w:cs="Arial"/>
          <w:bCs/>
          <w:sz w:val="20"/>
          <w:szCs w:val="20"/>
        </w:rPr>
        <w:t>as</w:t>
      </w:r>
      <w:proofErr w:type="gramEnd"/>
      <w:r w:rsidRPr="0067622F">
        <w:rPr>
          <w:rFonts w:ascii="Arial" w:hAnsi="Arial" w:cs="Arial"/>
          <w:bCs/>
          <w:sz w:val="20"/>
          <w:szCs w:val="20"/>
        </w:rPr>
        <w:t xml:space="preserve"> 17:00hs)</w:t>
      </w:r>
    </w:p>
    <w:p w14:paraId="28E1058C" w14:textId="77777777" w:rsidR="00141BD2" w:rsidRPr="0067622F" w:rsidRDefault="00BA1D05" w:rsidP="00141BD2">
      <w:pPr>
        <w:numPr>
          <w:ilvl w:val="0"/>
          <w:numId w:val="6"/>
        </w:numPr>
        <w:spacing w:after="120" w:line="360" w:lineRule="auto"/>
        <w:jc w:val="both"/>
        <w:rPr>
          <w:rFonts w:ascii="Arial" w:hAnsi="Arial" w:cs="Arial"/>
          <w:bCs/>
          <w:sz w:val="20"/>
          <w:szCs w:val="20"/>
        </w:rPr>
      </w:pPr>
      <w:r w:rsidRPr="0067622F">
        <w:rPr>
          <w:rFonts w:ascii="Arial" w:hAnsi="Arial" w:cs="Arial"/>
          <w:bCs/>
          <w:sz w:val="20"/>
          <w:szCs w:val="20"/>
        </w:rPr>
        <w:t>04</w:t>
      </w:r>
      <w:r w:rsidR="00141BD2" w:rsidRPr="0067622F">
        <w:rPr>
          <w:rFonts w:ascii="Arial" w:hAnsi="Arial" w:cs="Arial"/>
          <w:bCs/>
          <w:sz w:val="20"/>
          <w:szCs w:val="20"/>
        </w:rPr>
        <w:t xml:space="preserve"> técnicos de enfermagem em r</w:t>
      </w:r>
      <w:r w:rsidR="00464A9F" w:rsidRPr="0067622F">
        <w:rPr>
          <w:rFonts w:ascii="Arial" w:hAnsi="Arial" w:cs="Arial"/>
          <w:bCs/>
          <w:sz w:val="20"/>
          <w:szCs w:val="20"/>
        </w:rPr>
        <w:t>egime de revezamento de turno (4</w:t>
      </w:r>
      <w:r w:rsidR="00141BD2" w:rsidRPr="0067622F">
        <w:rPr>
          <w:rFonts w:ascii="Arial" w:hAnsi="Arial" w:cs="Arial"/>
          <w:bCs/>
          <w:sz w:val="20"/>
          <w:szCs w:val="20"/>
        </w:rPr>
        <w:t xml:space="preserve"> x </w:t>
      </w:r>
      <w:proofErr w:type="gramStart"/>
      <w:r w:rsidR="00141BD2" w:rsidRPr="0067622F">
        <w:rPr>
          <w:rFonts w:ascii="Arial" w:hAnsi="Arial" w:cs="Arial"/>
          <w:bCs/>
          <w:sz w:val="20"/>
          <w:szCs w:val="20"/>
        </w:rPr>
        <w:t>4 )</w:t>
      </w:r>
      <w:proofErr w:type="gramEnd"/>
      <w:r w:rsidR="00464A9F" w:rsidRPr="0067622F">
        <w:rPr>
          <w:rFonts w:ascii="Arial" w:hAnsi="Arial" w:cs="Arial"/>
          <w:bCs/>
          <w:sz w:val="20"/>
          <w:szCs w:val="20"/>
        </w:rPr>
        <w:t xml:space="preserve"> - (12:00hs sendo 01 hora de almoço e 01 hora de descanso)</w:t>
      </w:r>
    </w:p>
    <w:p w14:paraId="5B9E9E81" w14:textId="501A2593" w:rsidR="00141BD2" w:rsidRDefault="00141BD2" w:rsidP="00141BD2">
      <w:pPr>
        <w:numPr>
          <w:ilvl w:val="0"/>
          <w:numId w:val="6"/>
        </w:numPr>
        <w:spacing w:after="120" w:line="360" w:lineRule="auto"/>
        <w:jc w:val="both"/>
        <w:rPr>
          <w:rFonts w:ascii="Arial" w:hAnsi="Arial" w:cs="Arial"/>
          <w:bCs/>
          <w:sz w:val="20"/>
          <w:szCs w:val="20"/>
        </w:rPr>
      </w:pPr>
      <w:r w:rsidRPr="0067622F">
        <w:rPr>
          <w:rFonts w:ascii="Arial" w:hAnsi="Arial" w:cs="Arial"/>
          <w:bCs/>
          <w:sz w:val="20"/>
          <w:szCs w:val="20"/>
        </w:rPr>
        <w:t>01</w:t>
      </w:r>
      <w:r w:rsidR="00150C7A" w:rsidRPr="0067622F">
        <w:rPr>
          <w:rFonts w:ascii="Arial" w:hAnsi="Arial" w:cs="Arial"/>
          <w:bCs/>
          <w:sz w:val="20"/>
          <w:szCs w:val="20"/>
        </w:rPr>
        <w:t xml:space="preserve"> </w:t>
      </w:r>
      <w:r w:rsidRPr="0067622F">
        <w:rPr>
          <w:rFonts w:ascii="Arial" w:hAnsi="Arial" w:cs="Arial"/>
          <w:bCs/>
          <w:sz w:val="20"/>
          <w:szCs w:val="20"/>
        </w:rPr>
        <w:t>técnico de enfermagem do trabalho</w:t>
      </w:r>
      <w:r w:rsidR="00464A9F" w:rsidRPr="0067622F">
        <w:rPr>
          <w:rFonts w:ascii="Arial" w:hAnsi="Arial" w:cs="Arial"/>
          <w:bCs/>
          <w:sz w:val="20"/>
          <w:szCs w:val="20"/>
        </w:rPr>
        <w:t xml:space="preserve"> </w:t>
      </w:r>
      <w:r w:rsidR="00150C7A" w:rsidRPr="0067622F">
        <w:rPr>
          <w:rFonts w:ascii="Arial" w:hAnsi="Arial" w:cs="Arial"/>
          <w:bCs/>
          <w:sz w:val="20"/>
          <w:szCs w:val="20"/>
        </w:rPr>
        <w:t xml:space="preserve">em horário administrativo (segunda a sexta das 08:00hs as 17:00hs), </w:t>
      </w:r>
      <w:proofErr w:type="gramStart"/>
      <w:r w:rsidR="00150C7A" w:rsidRPr="0067622F">
        <w:rPr>
          <w:rFonts w:ascii="Arial" w:hAnsi="Arial" w:cs="Arial"/>
          <w:bCs/>
          <w:sz w:val="20"/>
          <w:szCs w:val="20"/>
        </w:rPr>
        <w:t>(</w:t>
      </w:r>
      <w:r w:rsidR="00464A9F" w:rsidRPr="0067622F">
        <w:rPr>
          <w:rFonts w:ascii="Arial" w:hAnsi="Arial" w:cs="Arial"/>
          <w:bCs/>
          <w:sz w:val="20"/>
          <w:szCs w:val="20"/>
        </w:rPr>
        <w:t xml:space="preserve"> sendo</w:t>
      </w:r>
      <w:proofErr w:type="gramEnd"/>
      <w:r w:rsidR="00464A9F" w:rsidRPr="0067622F">
        <w:rPr>
          <w:rFonts w:ascii="Arial" w:hAnsi="Arial" w:cs="Arial"/>
          <w:bCs/>
          <w:sz w:val="20"/>
          <w:szCs w:val="20"/>
        </w:rPr>
        <w:t xml:space="preserve"> 01hora de almoço)</w:t>
      </w:r>
      <w:r w:rsidR="00150C7A" w:rsidRPr="0067622F">
        <w:rPr>
          <w:rFonts w:ascii="Arial" w:hAnsi="Arial" w:cs="Arial"/>
          <w:bCs/>
          <w:sz w:val="20"/>
          <w:szCs w:val="20"/>
        </w:rPr>
        <w:t xml:space="preserve"> .</w:t>
      </w:r>
    </w:p>
    <w:p w14:paraId="2F9D2EF9" w14:textId="77777777" w:rsidR="00B10886" w:rsidRPr="0067622F" w:rsidRDefault="00B10886" w:rsidP="00B10886">
      <w:pPr>
        <w:spacing w:after="120" w:line="360" w:lineRule="auto"/>
        <w:ind w:left="720"/>
        <w:jc w:val="both"/>
        <w:rPr>
          <w:rFonts w:ascii="Arial" w:hAnsi="Arial" w:cs="Arial"/>
          <w:bCs/>
          <w:sz w:val="20"/>
          <w:szCs w:val="20"/>
        </w:rPr>
      </w:pPr>
    </w:p>
    <w:p w14:paraId="6F33A21D" w14:textId="77777777" w:rsidR="00141BD2" w:rsidRPr="0067622F" w:rsidRDefault="00141BD2" w:rsidP="005B6813">
      <w:pPr>
        <w:pStyle w:val="PargrafodaLista"/>
        <w:spacing w:after="120" w:line="360" w:lineRule="auto"/>
        <w:ind w:left="0"/>
        <w:jc w:val="both"/>
        <w:rPr>
          <w:rFonts w:ascii="Arial" w:hAnsi="Arial" w:cs="Arial"/>
          <w:b/>
          <w:sz w:val="20"/>
          <w:szCs w:val="20"/>
        </w:rPr>
      </w:pPr>
      <w:r w:rsidRPr="0067622F">
        <w:rPr>
          <w:rFonts w:ascii="Arial" w:hAnsi="Arial" w:cs="Arial"/>
          <w:b/>
          <w:sz w:val="20"/>
          <w:szCs w:val="20"/>
        </w:rPr>
        <w:t>O atendimento médico é realizado de s</w:t>
      </w:r>
      <w:r w:rsidR="001B0E37" w:rsidRPr="0067622F">
        <w:rPr>
          <w:rFonts w:ascii="Arial" w:hAnsi="Arial" w:cs="Arial"/>
          <w:b/>
          <w:sz w:val="20"/>
          <w:szCs w:val="20"/>
        </w:rPr>
        <w:t>egunda à sexta feira das 08:00 às 12:00hs e das 13:00 às 17:00hs.</w:t>
      </w:r>
    </w:p>
    <w:p w14:paraId="24FE7A1B" w14:textId="77777777" w:rsidR="0026109E" w:rsidRPr="0067622F" w:rsidRDefault="0026109E" w:rsidP="00141BD2">
      <w:pPr>
        <w:pStyle w:val="PargrafodaLista"/>
        <w:spacing w:after="120" w:line="360" w:lineRule="auto"/>
        <w:ind w:left="0" w:firstLine="708"/>
        <w:jc w:val="both"/>
        <w:rPr>
          <w:rFonts w:ascii="Arial" w:hAnsi="Arial" w:cs="Arial"/>
          <w:b/>
          <w:sz w:val="20"/>
          <w:szCs w:val="20"/>
        </w:rPr>
      </w:pPr>
    </w:p>
    <w:p w14:paraId="2D45DCC9" w14:textId="77777777" w:rsidR="00B10886" w:rsidRDefault="00B10886" w:rsidP="00141BD2">
      <w:pPr>
        <w:pStyle w:val="PargrafodaLista"/>
        <w:spacing w:after="120" w:line="360" w:lineRule="auto"/>
        <w:ind w:left="0"/>
        <w:jc w:val="both"/>
        <w:rPr>
          <w:rFonts w:ascii="Arial" w:hAnsi="Arial" w:cs="Arial"/>
          <w:b/>
          <w:sz w:val="20"/>
          <w:szCs w:val="20"/>
        </w:rPr>
      </w:pPr>
    </w:p>
    <w:p w14:paraId="4BA53CB5" w14:textId="3C1FDBF3" w:rsidR="00141BD2" w:rsidRPr="0067622F" w:rsidRDefault="00141BD2" w:rsidP="00141BD2">
      <w:pPr>
        <w:pStyle w:val="PargrafodaLista"/>
        <w:spacing w:after="120" w:line="360" w:lineRule="auto"/>
        <w:ind w:left="0"/>
        <w:jc w:val="both"/>
        <w:rPr>
          <w:rFonts w:ascii="Arial" w:hAnsi="Arial" w:cs="Arial"/>
          <w:b/>
          <w:sz w:val="20"/>
          <w:szCs w:val="20"/>
        </w:rPr>
      </w:pPr>
      <w:r w:rsidRPr="0067622F">
        <w:rPr>
          <w:rFonts w:ascii="Arial" w:hAnsi="Arial" w:cs="Arial"/>
          <w:b/>
          <w:sz w:val="20"/>
          <w:szCs w:val="20"/>
        </w:rPr>
        <w:t>V.3 - Reconhecimento e Avaliação do Risco Biológico</w:t>
      </w:r>
    </w:p>
    <w:p w14:paraId="1D16B749" w14:textId="77777777" w:rsidR="00141BD2" w:rsidRPr="0067622F" w:rsidRDefault="00141BD2" w:rsidP="00141BD2">
      <w:pPr>
        <w:pStyle w:val="PargrafodaLista"/>
        <w:spacing w:after="120" w:line="360" w:lineRule="auto"/>
        <w:ind w:left="0"/>
        <w:jc w:val="both"/>
        <w:rPr>
          <w:rFonts w:ascii="Arial" w:hAnsi="Arial" w:cs="Arial"/>
          <w:b/>
          <w:sz w:val="20"/>
          <w:szCs w:val="20"/>
        </w:rPr>
      </w:pPr>
    </w:p>
    <w:p w14:paraId="0B822298" w14:textId="77777777" w:rsidR="00141BD2" w:rsidRPr="0067622F" w:rsidRDefault="00141BD2" w:rsidP="00141BD2">
      <w:pPr>
        <w:pStyle w:val="PargrafodaLista"/>
        <w:spacing w:after="120" w:line="360" w:lineRule="auto"/>
        <w:ind w:left="0"/>
        <w:jc w:val="both"/>
        <w:rPr>
          <w:rFonts w:ascii="Arial" w:hAnsi="Arial" w:cs="Arial"/>
          <w:b/>
          <w:sz w:val="20"/>
          <w:szCs w:val="20"/>
        </w:rPr>
      </w:pPr>
      <w:r w:rsidRPr="0067622F">
        <w:rPr>
          <w:rFonts w:ascii="Arial" w:hAnsi="Arial" w:cs="Arial"/>
          <w:b/>
          <w:sz w:val="20"/>
          <w:szCs w:val="20"/>
        </w:rPr>
        <w:t>V.3.1 - Fontes de exposição e reservatórios</w:t>
      </w:r>
    </w:p>
    <w:p w14:paraId="5DF93363" w14:textId="77777777" w:rsidR="00F5504E" w:rsidRPr="0067622F" w:rsidRDefault="00F5504E" w:rsidP="00141BD2">
      <w:pPr>
        <w:pStyle w:val="PargrafodaLista"/>
        <w:spacing w:after="120" w:line="360" w:lineRule="auto"/>
        <w:ind w:left="0"/>
        <w:jc w:val="both"/>
        <w:rPr>
          <w:rFonts w:ascii="Arial" w:hAnsi="Arial" w:cs="Arial"/>
          <w:b/>
          <w:sz w:val="20"/>
          <w:szCs w:val="20"/>
        </w:rPr>
      </w:pPr>
    </w:p>
    <w:p w14:paraId="1A75E81B" w14:textId="77777777" w:rsidR="00141BD2" w:rsidRPr="0067622F" w:rsidRDefault="00141BD2" w:rsidP="00141BD2">
      <w:pPr>
        <w:pStyle w:val="PargrafodaLista"/>
        <w:numPr>
          <w:ilvl w:val="0"/>
          <w:numId w:val="3"/>
        </w:numPr>
        <w:spacing w:after="120" w:line="360" w:lineRule="auto"/>
        <w:jc w:val="both"/>
        <w:rPr>
          <w:rFonts w:ascii="Arial" w:hAnsi="Arial" w:cs="Arial"/>
          <w:sz w:val="20"/>
          <w:szCs w:val="20"/>
        </w:rPr>
      </w:pPr>
      <w:r w:rsidRPr="0067622F">
        <w:rPr>
          <w:rFonts w:ascii="Arial" w:hAnsi="Arial" w:cs="Arial"/>
          <w:sz w:val="20"/>
          <w:szCs w:val="20"/>
        </w:rPr>
        <w:t>Contato direto com fluídos e secreções orgânicas no processo de assistência à saúde.</w:t>
      </w:r>
    </w:p>
    <w:p w14:paraId="385600D7" w14:textId="77777777" w:rsidR="00141BD2" w:rsidRPr="0067622F" w:rsidRDefault="00141BD2" w:rsidP="00141BD2">
      <w:pPr>
        <w:pStyle w:val="PargrafodaLista"/>
        <w:numPr>
          <w:ilvl w:val="0"/>
          <w:numId w:val="3"/>
        </w:numPr>
        <w:spacing w:after="120" w:line="360" w:lineRule="auto"/>
        <w:jc w:val="both"/>
        <w:rPr>
          <w:rFonts w:ascii="Arial" w:hAnsi="Arial" w:cs="Arial"/>
          <w:sz w:val="20"/>
          <w:szCs w:val="20"/>
        </w:rPr>
      </w:pPr>
      <w:r w:rsidRPr="0067622F">
        <w:rPr>
          <w:rFonts w:ascii="Arial" w:hAnsi="Arial" w:cs="Arial"/>
          <w:sz w:val="20"/>
          <w:szCs w:val="20"/>
        </w:rPr>
        <w:t>Contato direto e indireto (</w:t>
      </w:r>
      <w:proofErr w:type="spellStart"/>
      <w:r w:rsidRPr="0067622F">
        <w:rPr>
          <w:rFonts w:ascii="Arial" w:hAnsi="Arial" w:cs="Arial"/>
          <w:sz w:val="20"/>
          <w:szCs w:val="20"/>
        </w:rPr>
        <w:t>aerodispersoides</w:t>
      </w:r>
      <w:proofErr w:type="spellEnd"/>
      <w:r w:rsidRPr="0067622F">
        <w:rPr>
          <w:rFonts w:ascii="Arial" w:hAnsi="Arial" w:cs="Arial"/>
          <w:sz w:val="20"/>
          <w:szCs w:val="20"/>
        </w:rPr>
        <w:t xml:space="preserve">), com pessoas que procuram o ambulatório com sinais e sintomas de doenças </w:t>
      </w:r>
      <w:proofErr w:type="spellStart"/>
      <w:r w:rsidRPr="0067622F">
        <w:rPr>
          <w:rFonts w:ascii="Arial" w:hAnsi="Arial" w:cs="Arial"/>
          <w:sz w:val="20"/>
          <w:szCs w:val="20"/>
        </w:rPr>
        <w:t>infecto-contagiosas</w:t>
      </w:r>
      <w:proofErr w:type="spellEnd"/>
      <w:r w:rsidRPr="0067622F">
        <w:rPr>
          <w:rFonts w:ascii="Arial" w:hAnsi="Arial" w:cs="Arial"/>
          <w:sz w:val="20"/>
          <w:szCs w:val="20"/>
        </w:rPr>
        <w:t>.</w:t>
      </w:r>
    </w:p>
    <w:p w14:paraId="566B1850" w14:textId="77777777" w:rsidR="00141BD2" w:rsidRPr="0067622F" w:rsidRDefault="00141BD2" w:rsidP="00141BD2">
      <w:pPr>
        <w:pStyle w:val="PargrafodaLista"/>
        <w:spacing w:after="120" w:line="360" w:lineRule="auto"/>
        <w:ind w:left="0"/>
        <w:jc w:val="both"/>
        <w:rPr>
          <w:rFonts w:ascii="Arial" w:hAnsi="Arial" w:cs="Arial"/>
          <w:sz w:val="20"/>
          <w:szCs w:val="20"/>
        </w:rPr>
      </w:pPr>
    </w:p>
    <w:p w14:paraId="65909797" w14:textId="77777777" w:rsidR="00141BD2" w:rsidRPr="0067622F" w:rsidRDefault="00141BD2" w:rsidP="00141BD2">
      <w:pPr>
        <w:pStyle w:val="PargrafodaLista"/>
        <w:spacing w:after="120" w:line="360" w:lineRule="auto"/>
        <w:ind w:left="0"/>
        <w:jc w:val="both"/>
        <w:rPr>
          <w:rFonts w:ascii="Arial" w:hAnsi="Arial" w:cs="Arial"/>
          <w:b/>
          <w:sz w:val="20"/>
          <w:szCs w:val="20"/>
        </w:rPr>
      </w:pPr>
      <w:r w:rsidRPr="0067622F">
        <w:rPr>
          <w:rFonts w:ascii="Arial" w:hAnsi="Arial" w:cs="Arial"/>
          <w:b/>
          <w:sz w:val="20"/>
          <w:szCs w:val="20"/>
        </w:rPr>
        <w:t>V.3.2 - Vias de transmissão e de entrada</w:t>
      </w:r>
    </w:p>
    <w:p w14:paraId="6CD980B1" w14:textId="77777777" w:rsidR="00F5504E" w:rsidRPr="0067622F" w:rsidRDefault="00F5504E" w:rsidP="00141BD2">
      <w:pPr>
        <w:pStyle w:val="PargrafodaLista"/>
        <w:spacing w:after="120" w:line="360" w:lineRule="auto"/>
        <w:ind w:left="0"/>
        <w:jc w:val="both"/>
        <w:rPr>
          <w:rFonts w:ascii="Arial" w:hAnsi="Arial" w:cs="Arial"/>
          <w:b/>
          <w:sz w:val="20"/>
          <w:szCs w:val="20"/>
        </w:rPr>
      </w:pPr>
    </w:p>
    <w:p w14:paraId="77147696" w14:textId="77777777" w:rsidR="00141BD2" w:rsidRPr="0067622F" w:rsidRDefault="00141BD2" w:rsidP="00141BD2">
      <w:pPr>
        <w:pStyle w:val="PargrafodaLista"/>
        <w:numPr>
          <w:ilvl w:val="0"/>
          <w:numId w:val="4"/>
        </w:numPr>
        <w:spacing w:after="120" w:line="360" w:lineRule="auto"/>
        <w:jc w:val="both"/>
        <w:rPr>
          <w:rFonts w:ascii="Arial" w:hAnsi="Arial" w:cs="Arial"/>
          <w:sz w:val="20"/>
          <w:szCs w:val="20"/>
        </w:rPr>
      </w:pPr>
      <w:r w:rsidRPr="0067622F">
        <w:rPr>
          <w:rFonts w:ascii="Arial" w:hAnsi="Arial" w:cs="Arial"/>
          <w:sz w:val="20"/>
          <w:szCs w:val="20"/>
        </w:rPr>
        <w:t>Contato com a pele e mucosas</w:t>
      </w:r>
    </w:p>
    <w:p w14:paraId="6716468F" w14:textId="77777777" w:rsidR="00141BD2" w:rsidRPr="0067622F" w:rsidRDefault="00141BD2" w:rsidP="00141BD2">
      <w:pPr>
        <w:pStyle w:val="PargrafodaLista"/>
        <w:numPr>
          <w:ilvl w:val="0"/>
          <w:numId w:val="4"/>
        </w:numPr>
        <w:spacing w:after="120" w:line="360" w:lineRule="auto"/>
        <w:jc w:val="both"/>
        <w:rPr>
          <w:rFonts w:ascii="Arial" w:hAnsi="Arial" w:cs="Arial"/>
          <w:sz w:val="20"/>
          <w:szCs w:val="20"/>
        </w:rPr>
      </w:pPr>
      <w:r w:rsidRPr="0067622F">
        <w:rPr>
          <w:rFonts w:ascii="Arial" w:hAnsi="Arial" w:cs="Arial"/>
          <w:sz w:val="20"/>
          <w:szCs w:val="20"/>
        </w:rPr>
        <w:t xml:space="preserve">Inalação de gotículas </w:t>
      </w:r>
      <w:proofErr w:type="spellStart"/>
      <w:r w:rsidRPr="0067622F">
        <w:rPr>
          <w:rFonts w:ascii="Arial" w:hAnsi="Arial" w:cs="Arial"/>
          <w:sz w:val="20"/>
          <w:szCs w:val="20"/>
        </w:rPr>
        <w:t>aerodispersas</w:t>
      </w:r>
      <w:proofErr w:type="spellEnd"/>
      <w:r w:rsidRPr="0067622F">
        <w:rPr>
          <w:rFonts w:ascii="Arial" w:hAnsi="Arial" w:cs="Arial"/>
          <w:sz w:val="20"/>
          <w:szCs w:val="20"/>
        </w:rPr>
        <w:t xml:space="preserve"> </w:t>
      </w:r>
    </w:p>
    <w:p w14:paraId="5C9DD5B5" w14:textId="77777777" w:rsidR="00141BD2" w:rsidRPr="0067622F" w:rsidRDefault="00141BD2" w:rsidP="00141BD2">
      <w:pPr>
        <w:pStyle w:val="PargrafodaLista"/>
        <w:numPr>
          <w:ilvl w:val="0"/>
          <w:numId w:val="4"/>
        </w:numPr>
        <w:spacing w:after="120" w:line="360" w:lineRule="auto"/>
        <w:jc w:val="both"/>
        <w:rPr>
          <w:rFonts w:ascii="Arial" w:hAnsi="Arial" w:cs="Arial"/>
          <w:sz w:val="20"/>
          <w:szCs w:val="20"/>
        </w:rPr>
      </w:pPr>
      <w:r w:rsidRPr="0067622F">
        <w:rPr>
          <w:rFonts w:ascii="Arial" w:hAnsi="Arial" w:cs="Arial"/>
          <w:sz w:val="20"/>
          <w:szCs w:val="20"/>
        </w:rPr>
        <w:t>Exposição acidental ao material biológico</w:t>
      </w:r>
    </w:p>
    <w:p w14:paraId="2E1C60F7" w14:textId="77777777" w:rsidR="00141BD2" w:rsidRDefault="00141BD2" w:rsidP="00141BD2">
      <w:pPr>
        <w:pStyle w:val="PargrafodaLista"/>
        <w:spacing w:after="120" w:line="360" w:lineRule="auto"/>
        <w:ind w:left="0"/>
        <w:jc w:val="both"/>
        <w:rPr>
          <w:rFonts w:ascii="Arial" w:hAnsi="Arial" w:cs="Arial"/>
          <w:sz w:val="20"/>
          <w:szCs w:val="20"/>
        </w:rPr>
      </w:pPr>
    </w:p>
    <w:p w14:paraId="39EF0AEE" w14:textId="77777777" w:rsidR="00AF7ABE" w:rsidRDefault="00AF7ABE" w:rsidP="00141BD2">
      <w:pPr>
        <w:pStyle w:val="PargrafodaLista"/>
        <w:spacing w:after="120" w:line="360" w:lineRule="auto"/>
        <w:ind w:left="0"/>
        <w:jc w:val="both"/>
        <w:rPr>
          <w:rFonts w:ascii="Arial" w:hAnsi="Arial" w:cs="Arial"/>
          <w:sz w:val="20"/>
          <w:szCs w:val="20"/>
        </w:rPr>
      </w:pPr>
    </w:p>
    <w:p w14:paraId="1961D154" w14:textId="77777777" w:rsidR="00B10886" w:rsidRDefault="00B10886" w:rsidP="00141BD2">
      <w:pPr>
        <w:pStyle w:val="PargrafodaLista"/>
        <w:spacing w:after="120" w:line="360" w:lineRule="auto"/>
        <w:ind w:left="0"/>
        <w:jc w:val="both"/>
        <w:rPr>
          <w:rFonts w:ascii="Arial" w:hAnsi="Arial" w:cs="Arial"/>
          <w:b/>
          <w:sz w:val="20"/>
          <w:szCs w:val="20"/>
        </w:rPr>
      </w:pPr>
    </w:p>
    <w:p w14:paraId="48190288" w14:textId="77777777" w:rsidR="00B10886" w:rsidRDefault="00B10886" w:rsidP="00141BD2">
      <w:pPr>
        <w:pStyle w:val="PargrafodaLista"/>
        <w:spacing w:after="120" w:line="360" w:lineRule="auto"/>
        <w:ind w:left="0"/>
        <w:jc w:val="both"/>
        <w:rPr>
          <w:rFonts w:ascii="Arial" w:hAnsi="Arial" w:cs="Arial"/>
          <w:b/>
          <w:sz w:val="20"/>
          <w:szCs w:val="20"/>
        </w:rPr>
      </w:pPr>
    </w:p>
    <w:p w14:paraId="11C09FE7" w14:textId="58A8357E" w:rsidR="00141BD2" w:rsidRPr="0067622F" w:rsidRDefault="00141BD2" w:rsidP="00141BD2">
      <w:pPr>
        <w:pStyle w:val="PargrafodaLista"/>
        <w:spacing w:after="120" w:line="360" w:lineRule="auto"/>
        <w:ind w:left="0"/>
        <w:jc w:val="both"/>
        <w:rPr>
          <w:rFonts w:ascii="Arial" w:hAnsi="Arial" w:cs="Arial"/>
          <w:b/>
          <w:sz w:val="20"/>
          <w:szCs w:val="20"/>
        </w:rPr>
      </w:pPr>
      <w:r w:rsidRPr="0067622F">
        <w:rPr>
          <w:rFonts w:ascii="Arial" w:hAnsi="Arial" w:cs="Arial"/>
          <w:b/>
          <w:sz w:val="20"/>
          <w:szCs w:val="20"/>
        </w:rPr>
        <w:lastRenderedPageBreak/>
        <w:t>V.3.3 - Transmissibilidade, Patogenicidade e Virulência.</w:t>
      </w:r>
    </w:p>
    <w:p w14:paraId="0B29F8ED" w14:textId="77777777" w:rsidR="00F5504E" w:rsidRPr="0067622F" w:rsidRDefault="00F5504E" w:rsidP="00141BD2">
      <w:pPr>
        <w:pStyle w:val="PargrafodaLista"/>
        <w:spacing w:after="120" w:line="360" w:lineRule="auto"/>
        <w:ind w:left="0"/>
        <w:jc w:val="both"/>
        <w:rPr>
          <w:rFonts w:ascii="Arial" w:hAnsi="Arial" w:cs="Arial"/>
          <w:b/>
          <w:sz w:val="20"/>
          <w:szCs w:val="20"/>
        </w:rPr>
      </w:pPr>
    </w:p>
    <w:p w14:paraId="25C30EED" w14:textId="77777777" w:rsidR="00141BD2" w:rsidRPr="0067622F" w:rsidRDefault="00141BD2" w:rsidP="00141BD2">
      <w:pPr>
        <w:pStyle w:val="PargrafodaLista"/>
        <w:spacing w:after="120" w:line="360" w:lineRule="auto"/>
        <w:ind w:left="0" w:firstLine="708"/>
        <w:jc w:val="both"/>
        <w:rPr>
          <w:rFonts w:ascii="Arial" w:hAnsi="Arial" w:cs="Arial"/>
          <w:sz w:val="20"/>
          <w:szCs w:val="20"/>
        </w:rPr>
      </w:pPr>
      <w:r w:rsidRPr="0067622F">
        <w:rPr>
          <w:rFonts w:ascii="Arial" w:hAnsi="Arial" w:cs="Arial"/>
          <w:sz w:val="20"/>
          <w:szCs w:val="20"/>
        </w:rPr>
        <w:t>Pelas características do serviço de saúde e do tipo de atendimento prestado, existe maior potencial de exposição dos trabalhadores do ambulatório médico aos agentes biológicos mais prevalentes na população em geral. Conforme classificação dos agentes biológicos do Anexo II da NR 32 podem ser caracterizados, em geral, as classes de risco 1 e 2 e em exposições acidentais é possível contato com agentes da classe de risco 3.</w:t>
      </w: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0"/>
        <w:gridCol w:w="2280"/>
        <w:gridCol w:w="2280"/>
        <w:gridCol w:w="2280"/>
      </w:tblGrid>
      <w:tr w:rsidR="00141BD2" w:rsidRPr="0067622F" w14:paraId="58004AD5" w14:textId="77777777" w:rsidTr="00680E19">
        <w:trPr>
          <w:trHeight w:val="257"/>
        </w:trPr>
        <w:tc>
          <w:tcPr>
            <w:tcW w:w="2280" w:type="dxa"/>
          </w:tcPr>
          <w:p w14:paraId="472061CE"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b/>
                <w:bCs/>
              </w:rPr>
              <w:t>Classe de Risco</w:t>
            </w:r>
          </w:p>
        </w:tc>
        <w:tc>
          <w:tcPr>
            <w:tcW w:w="2280" w:type="dxa"/>
          </w:tcPr>
          <w:p w14:paraId="4054EF28"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b/>
                <w:bCs/>
              </w:rPr>
              <w:t>Risco individual</w:t>
            </w:r>
          </w:p>
        </w:tc>
        <w:tc>
          <w:tcPr>
            <w:tcW w:w="2280" w:type="dxa"/>
          </w:tcPr>
          <w:p w14:paraId="1567AAC6"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b/>
                <w:bCs/>
              </w:rPr>
              <w:t>Risco de propagação à coletividade</w:t>
            </w:r>
          </w:p>
        </w:tc>
        <w:tc>
          <w:tcPr>
            <w:tcW w:w="2280" w:type="dxa"/>
          </w:tcPr>
          <w:p w14:paraId="450F2E38" w14:textId="77777777" w:rsidR="00141BD2" w:rsidRPr="0067622F" w:rsidRDefault="00141BD2" w:rsidP="00680E19">
            <w:pPr>
              <w:pStyle w:val="Pa1"/>
              <w:spacing w:after="120" w:line="360" w:lineRule="auto"/>
              <w:jc w:val="both"/>
              <w:rPr>
                <w:rFonts w:ascii="Arial" w:hAnsi="Arial" w:cs="Arial"/>
                <w:color w:val="000000"/>
                <w:sz w:val="20"/>
                <w:szCs w:val="20"/>
              </w:rPr>
            </w:pPr>
            <w:r w:rsidRPr="0067622F">
              <w:rPr>
                <w:rStyle w:val="A1"/>
                <w:rFonts w:ascii="Arial" w:hAnsi="Arial" w:cs="Arial"/>
                <w:b/>
                <w:bCs/>
              </w:rPr>
              <w:t xml:space="preserve">Profilaxia ou </w:t>
            </w:r>
          </w:p>
          <w:p w14:paraId="726CEE56" w14:textId="77777777" w:rsidR="00141BD2" w:rsidRPr="0067622F" w:rsidRDefault="00141BD2" w:rsidP="00680E19">
            <w:pPr>
              <w:pStyle w:val="Pa1"/>
              <w:spacing w:after="120" w:line="360" w:lineRule="auto"/>
              <w:jc w:val="both"/>
              <w:rPr>
                <w:rFonts w:ascii="Arial" w:hAnsi="Arial" w:cs="Arial"/>
                <w:color w:val="000000"/>
                <w:sz w:val="20"/>
                <w:szCs w:val="20"/>
              </w:rPr>
            </w:pPr>
            <w:r w:rsidRPr="0067622F">
              <w:rPr>
                <w:rStyle w:val="A1"/>
                <w:rFonts w:ascii="Arial" w:hAnsi="Arial" w:cs="Arial"/>
                <w:b/>
                <w:bCs/>
              </w:rPr>
              <w:t>tratamento eficaz</w:t>
            </w:r>
          </w:p>
        </w:tc>
      </w:tr>
      <w:tr w:rsidR="00141BD2" w:rsidRPr="0067622F" w14:paraId="2EF584CA" w14:textId="77777777" w:rsidTr="00680E19">
        <w:trPr>
          <w:trHeight w:val="134"/>
        </w:trPr>
        <w:tc>
          <w:tcPr>
            <w:tcW w:w="2280" w:type="dxa"/>
          </w:tcPr>
          <w:p w14:paraId="1E43B54F" w14:textId="77777777" w:rsidR="00141BD2" w:rsidRPr="0067622F" w:rsidRDefault="00141BD2" w:rsidP="00680E19">
            <w:pPr>
              <w:pStyle w:val="Pa0"/>
              <w:spacing w:after="120" w:line="360" w:lineRule="auto"/>
              <w:rPr>
                <w:rFonts w:ascii="Arial" w:hAnsi="Arial" w:cs="Arial"/>
                <w:color w:val="000000"/>
                <w:sz w:val="20"/>
                <w:szCs w:val="20"/>
              </w:rPr>
            </w:pPr>
            <w:r w:rsidRPr="0067622F">
              <w:rPr>
                <w:rStyle w:val="A1"/>
                <w:rFonts w:ascii="Arial" w:hAnsi="Arial" w:cs="Arial"/>
                <w:b/>
                <w:bCs/>
              </w:rPr>
              <w:t>1</w:t>
            </w:r>
          </w:p>
        </w:tc>
        <w:tc>
          <w:tcPr>
            <w:tcW w:w="2280" w:type="dxa"/>
          </w:tcPr>
          <w:p w14:paraId="268F48B4"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Baixo</w:t>
            </w:r>
          </w:p>
        </w:tc>
        <w:tc>
          <w:tcPr>
            <w:tcW w:w="2280" w:type="dxa"/>
          </w:tcPr>
          <w:p w14:paraId="61E4F349"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Baixo</w:t>
            </w:r>
          </w:p>
        </w:tc>
        <w:tc>
          <w:tcPr>
            <w:tcW w:w="2280" w:type="dxa"/>
          </w:tcPr>
          <w:p w14:paraId="275625D1"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w:t>
            </w:r>
          </w:p>
        </w:tc>
      </w:tr>
      <w:tr w:rsidR="00141BD2" w:rsidRPr="0067622F" w14:paraId="07426467" w14:textId="77777777" w:rsidTr="00680E19">
        <w:trPr>
          <w:trHeight w:val="134"/>
        </w:trPr>
        <w:tc>
          <w:tcPr>
            <w:tcW w:w="2280" w:type="dxa"/>
          </w:tcPr>
          <w:p w14:paraId="1BF40643" w14:textId="77777777" w:rsidR="00141BD2" w:rsidRPr="0067622F" w:rsidRDefault="00141BD2" w:rsidP="00680E19">
            <w:pPr>
              <w:pStyle w:val="Pa0"/>
              <w:spacing w:after="120" w:line="360" w:lineRule="auto"/>
              <w:rPr>
                <w:rFonts w:ascii="Arial" w:hAnsi="Arial" w:cs="Arial"/>
                <w:color w:val="000000"/>
                <w:sz w:val="20"/>
                <w:szCs w:val="20"/>
              </w:rPr>
            </w:pPr>
            <w:r w:rsidRPr="0067622F">
              <w:rPr>
                <w:rStyle w:val="A1"/>
                <w:rFonts w:ascii="Arial" w:hAnsi="Arial" w:cs="Arial"/>
                <w:b/>
                <w:bCs/>
              </w:rPr>
              <w:t>2</w:t>
            </w:r>
          </w:p>
        </w:tc>
        <w:tc>
          <w:tcPr>
            <w:tcW w:w="2280" w:type="dxa"/>
          </w:tcPr>
          <w:p w14:paraId="7BA0F9C0"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Moderado</w:t>
            </w:r>
          </w:p>
        </w:tc>
        <w:tc>
          <w:tcPr>
            <w:tcW w:w="2280" w:type="dxa"/>
          </w:tcPr>
          <w:p w14:paraId="699A2A8A"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Baixo</w:t>
            </w:r>
          </w:p>
        </w:tc>
        <w:tc>
          <w:tcPr>
            <w:tcW w:w="2280" w:type="dxa"/>
          </w:tcPr>
          <w:p w14:paraId="5A5EF0A2"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Existem</w:t>
            </w:r>
          </w:p>
        </w:tc>
      </w:tr>
      <w:tr w:rsidR="00141BD2" w:rsidRPr="0067622F" w14:paraId="73624134" w14:textId="77777777" w:rsidTr="00680E19">
        <w:trPr>
          <w:trHeight w:val="134"/>
        </w:trPr>
        <w:tc>
          <w:tcPr>
            <w:tcW w:w="2280" w:type="dxa"/>
          </w:tcPr>
          <w:p w14:paraId="191265F6" w14:textId="77777777" w:rsidR="00141BD2" w:rsidRPr="0067622F" w:rsidRDefault="00141BD2" w:rsidP="00680E19">
            <w:pPr>
              <w:pStyle w:val="Pa0"/>
              <w:spacing w:after="120" w:line="360" w:lineRule="auto"/>
              <w:rPr>
                <w:rFonts w:ascii="Arial" w:hAnsi="Arial" w:cs="Arial"/>
                <w:color w:val="000000"/>
                <w:sz w:val="20"/>
                <w:szCs w:val="20"/>
              </w:rPr>
            </w:pPr>
            <w:r w:rsidRPr="0067622F">
              <w:rPr>
                <w:rStyle w:val="A1"/>
                <w:rFonts w:ascii="Arial" w:hAnsi="Arial" w:cs="Arial"/>
                <w:b/>
                <w:bCs/>
              </w:rPr>
              <w:t>3</w:t>
            </w:r>
          </w:p>
        </w:tc>
        <w:tc>
          <w:tcPr>
            <w:tcW w:w="2280" w:type="dxa"/>
          </w:tcPr>
          <w:p w14:paraId="71DE5E17"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Elevado</w:t>
            </w:r>
          </w:p>
        </w:tc>
        <w:tc>
          <w:tcPr>
            <w:tcW w:w="2280" w:type="dxa"/>
          </w:tcPr>
          <w:p w14:paraId="7ACC7C62"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Moderado</w:t>
            </w:r>
          </w:p>
        </w:tc>
        <w:tc>
          <w:tcPr>
            <w:tcW w:w="2280" w:type="dxa"/>
          </w:tcPr>
          <w:p w14:paraId="11CCA853"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Nem sempre existem</w:t>
            </w:r>
          </w:p>
        </w:tc>
      </w:tr>
      <w:tr w:rsidR="00141BD2" w:rsidRPr="0067622F" w14:paraId="2F1B01B1" w14:textId="77777777" w:rsidTr="00680E19">
        <w:trPr>
          <w:trHeight w:val="256"/>
        </w:trPr>
        <w:tc>
          <w:tcPr>
            <w:tcW w:w="2280" w:type="dxa"/>
          </w:tcPr>
          <w:p w14:paraId="1B6C6BEB" w14:textId="77777777" w:rsidR="00141BD2" w:rsidRPr="0067622F" w:rsidRDefault="00141BD2" w:rsidP="00680E19">
            <w:pPr>
              <w:pStyle w:val="Pa0"/>
              <w:spacing w:after="120" w:line="360" w:lineRule="auto"/>
              <w:rPr>
                <w:rFonts w:ascii="Arial" w:hAnsi="Arial" w:cs="Arial"/>
                <w:color w:val="000000"/>
                <w:sz w:val="20"/>
                <w:szCs w:val="20"/>
              </w:rPr>
            </w:pPr>
            <w:r w:rsidRPr="0067622F">
              <w:rPr>
                <w:rStyle w:val="A1"/>
                <w:rFonts w:ascii="Arial" w:hAnsi="Arial" w:cs="Arial"/>
                <w:b/>
                <w:bCs/>
              </w:rPr>
              <w:t>4</w:t>
            </w:r>
          </w:p>
        </w:tc>
        <w:tc>
          <w:tcPr>
            <w:tcW w:w="2280" w:type="dxa"/>
          </w:tcPr>
          <w:p w14:paraId="2974CBF2"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Elevado</w:t>
            </w:r>
          </w:p>
        </w:tc>
        <w:tc>
          <w:tcPr>
            <w:tcW w:w="2280" w:type="dxa"/>
          </w:tcPr>
          <w:p w14:paraId="00C0D7E3"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Elevado</w:t>
            </w:r>
          </w:p>
        </w:tc>
        <w:tc>
          <w:tcPr>
            <w:tcW w:w="2280" w:type="dxa"/>
          </w:tcPr>
          <w:p w14:paraId="0126D232"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 xml:space="preserve">Atualmente não </w:t>
            </w:r>
          </w:p>
          <w:p w14:paraId="495A7A84" w14:textId="77777777" w:rsidR="00141BD2" w:rsidRPr="0067622F" w:rsidRDefault="00141BD2" w:rsidP="00680E19">
            <w:pPr>
              <w:pStyle w:val="Pa1"/>
              <w:spacing w:after="120" w:line="360" w:lineRule="auto"/>
              <w:rPr>
                <w:rFonts w:ascii="Arial" w:hAnsi="Arial" w:cs="Arial"/>
                <w:color w:val="000000"/>
                <w:sz w:val="20"/>
                <w:szCs w:val="20"/>
              </w:rPr>
            </w:pPr>
            <w:r w:rsidRPr="0067622F">
              <w:rPr>
                <w:rStyle w:val="A1"/>
                <w:rFonts w:ascii="Arial" w:hAnsi="Arial" w:cs="Arial"/>
              </w:rPr>
              <w:t>Existem</w:t>
            </w:r>
          </w:p>
        </w:tc>
      </w:tr>
    </w:tbl>
    <w:p w14:paraId="7804889D" w14:textId="77777777" w:rsidR="00BA1D05" w:rsidRPr="0067622F" w:rsidRDefault="00BA1D05" w:rsidP="00141BD2">
      <w:pPr>
        <w:tabs>
          <w:tab w:val="left" w:pos="1440"/>
        </w:tabs>
        <w:spacing w:after="120" w:line="360" w:lineRule="auto"/>
        <w:rPr>
          <w:rFonts w:ascii="Arial" w:hAnsi="Arial" w:cs="Arial"/>
          <w:sz w:val="20"/>
          <w:szCs w:val="20"/>
        </w:rPr>
      </w:pPr>
    </w:p>
    <w:p w14:paraId="60F9ECB0" w14:textId="77777777" w:rsidR="00141BD2" w:rsidRPr="0067622F" w:rsidRDefault="00141BD2" w:rsidP="00141BD2">
      <w:pPr>
        <w:pStyle w:val="PargrafodaLista"/>
        <w:tabs>
          <w:tab w:val="left" w:pos="0"/>
        </w:tabs>
        <w:spacing w:after="120" w:line="360" w:lineRule="auto"/>
        <w:ind w:left="-142"/>
        <w:jc w:val="both"/>
        <w:rPr>
          <w:rFonts w:ascii="Arial" w:hAnsi="Arial" w:cs="Arial"/>
          <w:b/>
          <w:sz w:val="20"/>
          <w:szCs w:val="20"/>
        </w:rPr>
      </w:pPr>
      <w:r w:rsidRPr="0067622F">
        <w:rPr>
          <w:rFonts w:ascii="Arial" w:hAnsi="Arial" w:cs="Arial"/>
          <w:b/>
          <w:sz w:val="20"/>
          <w:szCs w:val="20"/>
        </w:rPr>
        <w:t xml:space="preserve">V.3.4 - Persistência do agente biológico no ambiente </w:t>
      </w:r>
    </w:p>
    <w:p w14:paraId="6EFA0D4D" w14:textId="69209194" w:rsidR="00141BD2" w:rsidRPr="0067622F" w:rsidRDefault="00141BD2" w:rsidP="00141BD2">
      <w:pPr>
        <w:pStyle w:val="PargrafodaLista"/>
        <w:tabs>
          <w:tab w:val="left" w:pos="0"/>
        </w:tabs>
        <w:spacing w:after="120" w:line="360" w:lineRule="auto"/>
        <w:ind w:left="-142"/>
        <w:jc w:val="both"/>
        <w:rPr>
          <w:rFonts w:ascii="Arial" w:hAnsi="Arial" w:cs="Arial"/>
          <w:b/>
          <w:sz w:val="20"/>
          <w:szCs w:val="20"/>
        </w:rPr>
      </w:pPr>
      <w:r w:rsidRPr="0067622F">
        <w:rPr>
          <w:rFonts w:ascii="Arial" w:hAnsi="Arial" w:cs="Arial"/>
          <w:color w:val="000000"/>
          <w:sz w:val="20"/>
          <w:szCs w:val="20"/>
        </w:rPr>
        <w:tab/>
      </w:r>
      <w:r w:rsidRPr="0067622F">
        <w:rPr>
          <w:rFonts w:ascii="Arial" w:hAnsi="Arial" w:cs="Arial"/>
          <w:color w:val="000000"/>
          <w:sz w:val="20"/>
          <w:szCs w:val="20"/>
        </w:rPr>
        <w:tab/>
        <w:t>Persistência no ambiente é a capacidade de o agente permanecer no am</w:t>
      </w:r>
      <w:r w:rsidRPr="0067622F">
        <w:rPr>
          <w:rFonts w:ascii="Arial" w:hAnsi="Arial" w:cs="Arial"/>
          <w:color w:val="000000"/>
          <w:sz w:val="20"/>
          <w:szCs w:val="20"/>
        </w:rPr>
        <w:softHyphen/>
        <w:t xml:space="preserve">biente, mantendo a possibilidade de causar doença. Exemplo: a persistência prolongada do vírus da hepatite B quando comparada àquela do vírus HIV. A persistência é um fator importante na avaliação do risco de exposição e de proteção do trabalhador. As formas de prevenção </w:t>
      </w:r>
      <w:r w:rsidR="00193420">
        <w:rPr>
          <w:rFonts w:ascii="Arial" w:hAnsi="Arial" w:cs="Arial"/>
          <w:color w:val="000000"/>
          <w:sz w:val="20"/>
          <w:szCs w:val="20"/>
        </w:rPr>
        <w:t xml:space="preserve">e medidas de descontaminação do local de trabalho </w:t>
      </w:r>
      <w:r w:rsidRPr="0067622F">
        <w:rPr>
          <w:rFonts w:ascii="Arial" w:hAnsi="Arial" w:cs="Arial"/>
          <w:color w:val="000000"/>
          <w:sz w:val="20"/>
          <w:szCs w:val="20"/>
        </w:rPr>
        <w:t>estão baseadas nos procedimentos de higiene e limpeza</w:t>
      </w:r>
      <w:r w:rsidR="00892831">
        <w:rPr>
          <w:rFonts w:ascii="Arial" w:hAnsi="Arial" w:cs="Arial"/>
          <w:color w:val="000000"/>
          <w:sz w:val="20"/>
          <w:szCs w:val="20"/>
        </w:rPr>
        <w:t xml:space="preserve"> </w:t>
      </w:r>
      <w:r w:rsidR="00B109C2">
        <w:rPr>
          <w:rFonts w:ascii="Arial" w:hAnsi="Arial" w:cs="Arial"/>
          <w:color w:val="000000"/>
          <w:sz w:val="20"/>
          <w:szCs w:val="20"/>
        </w:rPr>
        <w:t>–</w:t>
      </w:r>
      <w:r w:rsidR="00892831">
        <w:rPr>
          <w:rFonts w:ascii="Arial" w:hAnsi="Arial" w:cs="Arial"/>
          <w:color w:val="000000"/>
          <w:sz w:val="20"/>
          <w:szCs w:val="20"/>
        </w:rPr>
        <w:t xml:space="preserve"> </w:t>
      </w:r>
      <w:r w:rsidR="00B109C2" w:rsidRPr="00D162BD">
        <w:rPr>
          <w:rFonts w:ascii="Arial" w:hAnsi="Arial" w:cs="Arial"/>
          <w:b/>
          <w:bCs/>
          <w:color w:val="000000"/>
          <w:sz w:val="20"/>
          <w:szCs w:val="20"/>
        </w:rPr>
        <w:t xml:space="preserve">Manual de </w:t>
      </w:r>
      <w:r w:rsidR="00E75384" w:rsidRPr="00D162BD">
        <w:rPr>
          <w:rFonts w:ascii="Arial" w:hAnsi="Arial" w:cs="Arial"/>
          <w:b/>
          <w:bCs/>
          <w:color w:val="000000"/>
          <w:sz w:val="20"/>
          <w:szCs w:val="20"/>
        </w:rPr>
        <w:t>R</w:t>
      </w:r>
      <w:r w:rsidR="00B109C2" w:rsidRPr="00D162BD">
        <w:rPr>
          <w:rFonts w:ascii="Arial" w:hAnsi="Arial" w:cs="Arial"/>
          <w:b/>
          <w:bCs/>
          <w:color w:val="000000"/>
          <w:sz w:val="20"/>
          <w:szCs w:val="20"/>
        </w:rPr>
        <w:t>otinas e</w:t>
      </w:r>
      <w:r w:rsidR="00112F9B" w:rsidRPr="00D162BD">
        <w:rPr>
          <w:rFonts w:ascii="Arial" w:hAnsi="Arial" w:cs="Arial"/>
          <w:b/>
          <w:bCs/>
          <w:color w:val="000000"/>
          <w:sz w:val="20"/>
          <w:szCs w:val="20"/>
        </w:rPr>
        <w:t xml:space="preserve"> </w:t>
      </w:r>
      <w:r w:rsidR="00193420" w:rsidRPr="00D162BD">
        <w:rPr>
          <w:rFonts w:ascii="Arial" w:hAnsi="Arial" w:cs="Arial"/>
          <w:b/>
          <w:bCs/>
          <w:color w:val="000000"/>
          <w:sz w:val="20"/>
          <w:szCs w:val="20"/>
        </w:rPr>
        <w:t>P</w:t>
      </w:r>
      <w:r w:rsidR="00112F9B" w:rsidRPr="00D162BD">
        <w:rPr>
          <w:rFonts w:ascii="Arial" w:hAnsi="Arial" w:cs="Arial"/>
          <w:b/>
          <w:bCs/>
          <w:color w:val="000000"/>
          <w:sz w:val="20"/>
          <w:szCs w:val="20"/>
        </w:rPr>
        <w:t xml:space="preserve">rocedimentos de limpeza e </w:t>
      </w:r>
      <w:r w:rsidR="00D162BD" w:rsidRPr="00D162BD">
        <w:rPr>
          <w:rFonts w:ascii="Arial" w:hAnsi="Arial" w:cs="Arial"/>
          <w:b/>
          <w:bCs/>
          <w:color w:val="000000"/>
          <w:sz w:val="20"/>
          <w:szCs w:val="20"/>
        </w:rPr>
        <w:t xml:space="preserve">desinfecção </w:t>
      </w:r>
      <w:r w:rsidR="00D162BD">
        <w:rPr>
          <w:rFonts w:ascii="Arial" w:hAnsi="Arial" w:cs="Arial"/>
          <w:color w:val="000000"/>
          <w:sz w:val="20"/>
          <w:szCs w:val="20"/>
        </w:rPr>
        <w:t>e</w:t>
      </w:r>
      <w:r w:rsidRPr="0067622F">
        <w:rPr>
          <w:rFonts w:ascii="Arial" w:hAnsi="Arial" w:cs="Arial"/>
          <w:color w:val="000000"/>
          <w:sz w:val="20"/>
          <w:szCs w:val="20"/>
        </w:rPr>
        <w:t xml:space="preserve"> aplicação do </w:t>
      </w:r>
      <w:r w:rsidRPr="0067622F">
        <w:rPr>
          <w:rFonts w:ascii="Arial" w:hAnsi="Arial" w:cs="Arial"/>
          <w:b/>
          <w:color w:val="000000"/>
          <w:sz w:val="20"/>
          <w:szCs w:val="20"/>
        </w:rPr>
        <w:t>Programa de Gerenciamento dos Resíduos do Serviço de Saúde (PGRSS),</w:t>
      </w:r>
      <w:r w:rsidRPr="0067622F">
        <w:rPr>
          <w:rFonts w:ascii="Arial" w:hAnsi="Arial" w:cs="Arial"/>
          <w:color w:val="000000"/>
          <w:sz w:val="20"/>
          <w:szCs w:val="20"/>
        </w:rPr>
        <w:t xml:space="preserve"> procedimentos técnicos de assepsia e uso de equipamentos de proteção individual (EPI), entre outros procedimentos descritos no </w:t>
      </w:r>
      <w:r w:rsidRPr="0067622F">
        <w:rPr>
          <w:rFonts w:ascii="Arial" w:hAnsi="Arial" w:cs="Arial"/>
          <w:b/>
          <w:color w:val="000000"/>
          <w:sz w:val="20"/>
          <w:szCs w:val="20"/>
        </w:rPr>
        <w:t>Manual Ambulatorial</w:t>
      </w:r>
      <w:r w:rsidRPr="0067622F">
        <w:rPr>
          <w:rFonts w:ascii="Arial" w:hAnsi="Arial" w:cs="Arial"/>
          <w:color w:val="000000"/>
          <w:sz w:val="20"/>
          <w:szCs w:val="20"/>
        </w:rPr>
        <w:t>.</w:t>
      </w:r>
    </w:p>
    <w:p w14:paraId="09DD3C5C" w14:textId="77777777" w:rsidR="00141BD2" w:rsidRPr="0067622F" w:rsidRDefault="00141BD2" w:rsidP="00141BD2">
      <w:pPr>
        <w:pStyle w:val="Pa4"/>
        <w:tabs>
          <w:tab w:val="left" w:pos="0"/>
        </w:tabs>
        <w:spacing w:after="120" w:line="360" w:lineRule="auto"/>
        <w:ind w:left="-142"/>
        <w:jc w:val="both"/>
        <w:rPr>
          <w:rFonts w:ascii="Arial" w:hAnsi="Arial" w:cs="Arial"/>
          <w:b/>
          <w:color w:val="000000"/>
          <w:sz w:val="20"/>
          <w:szCs w:val="20"/>
        </w:rPr>
      </w:pPr>
      <w:r w:rsidRPr="0067622F">
        <w:rPr>
          <w:rFonts w:ascii="Arial" w:hAnsi="Arial" w:cs="Arial"/>
          <w:b/>
          <w:color w:val="000000"/>
          <w:sz w:val="20"/>
          <w:szCs w:val="20"/>
        </w:rPr>
        <w:t>V.3.5 - Estudos epidemiológicos e dados estatísticos</w:t>
      </w:r>
    </w:p>
    <w:p w14:paraId="076152CB" w14:textId="77777777" w:rsidR="00141BD2" w:rsidRPr="0067622F" w:rsidRDefault="00141BD2" w:rsidP="00141BD2">
      <w:pPr>
        <w:pStyle w:val="Pa4"/>
        <w:tabs>
          <w:tab w:val="left" w:pos="0"/>
        </w:tabs>
        <w:spacing w:after="120" w:line="360" w:lineRule="auto"/>
        <w:ind w:left="-142"/>
        <w:jc w:val="both"/>
        <w:rPr>
          <w:rFonts w:ascii="Arial" w:hAnsi="Arial" w:cs="Arial"/>
          <w:color w:val="000000"/>
          <w:sz w:val="20"/>
          <w:szCs w:val="20"/>
        </w:rPr>
      </w:pPr>
      <w:r w:rsidRPr="0067622F">
        <w:rPr>
          <w:rFonts w:ascii="Arial" w:hAnsi="Arial" w:cs="Arial"/>
          <w:color w:val="000000"/>
          <w:sz w:val="20"/>
          <w:szCs w:val="20"/>
        </w:rPr>
        <w:tab/>
      </w:r>
      <w:r w:rsidRPr="0067622F">
        <w:rPr>
          <w:rFonts w:ascii="Arial" w:hAnsi="Arial" w:cs="Arial"/>
          <w:color w:val="000000"/>
          <w:sz w:val="20"/>
          <w:szCs w:val="20"/>
        </w:rPr>
        <w:tab/>
        <w:t xml:space="preserve">A utilização da epidemiologia e estatística torna-se uma importante ferramenta para traçar o perfil dos agravos incidentes na saúde do trabalhador possibilitando ações preventivas. Os indicadores criados para mensurar os agravos à saúde do trabalhador relacionados à exposição a agentes biológicos são realizados através da análise do </w:t>
      </w:r>
      <w:r w:rsidRPr="0067622F">
        <w:rPr>
          <w:rFonts w:ascii="Arial" w:hAnsi="Arial" w:cs="Arial"/>
          <w:b/>
          <w:color w:val="000000"/>
          <w:sz w:val="20"/>
          <w:szCs w:val="20"/>
        </w:rPr>
        <w:t>absenteísmo médico</w:t>
      </w:r>
      <w:r w:rsidRPr="0067622F">
        <w:rPr>
          <w:rFonts w:ascii="Arial" w:hAnsi="Arial" w:cs="Arial"/>
          <w:color w:val="000000"/>
          <w:sz w:val="20"/>
          <w:szCs w:val="20"/>
        </w:rPr>
        <w:t xml:space="preserve">, </w:t>
      </w:r>
      <w:r w:rsidRPr="0067622F">
        <w:rPr>
          <w:rFonts w:ascii="Arial" w:hAnsi="Arial" w:cs="Arial"/>
          <w:b/>
          <w:color w:val="000000"/>
          <w:sz w:val="20"/>
          <w:szCs w:val="20"/>
        </w:rPr>
        <w:t>acidentes de trabalho</w:t>
      </w:r>
      <w:r w:rsidRPr="0067622F">
        <w:rPr>
          <w:rFonts w:ascii="Arial" w:hAnsi="Arial" w:cs="Arial"/>
          <w:color w:val="000000"/>
          <w:sz w:val="20"/>
          <w:szCs w:val="20"/>
        </w:rPr>
        <w:t xml:space="preserve"> e do </w:t>
      </w:r>
      <w:r w:rsidRPr="0067622F">
        <w:rPr>
          <w:rFonts w:ascii="Arial" w:hAnsi="Arial" w:cs="Arial"/>
          <w:b/>
          <w:color w:val="000000"/>
          <w:sz w:val="20"/>
          <w:szCs w:val="20"/>
        </w:rPr>
        <w:t>controle médico de saúde ocupacional</w:t>
      </w:r>
      <w:r w:rsidRPr="0067622F">
        <w:rPr>
          <w:rFonts w:ascii="Arial" w:hAnsi="Arial" w:cs="Arial"/>
          <w:color w:val="000000"/>
          <w:sz w:val="20"/>
          <w:szCs w:val="20"/>
        </w:rPr>
        <w:t>.</w:t>
      </w:r>
    </w:p>
    <w:p w14:paraId="3BB1E028" w14:textId="77777777" w:rsidR="00141BD2" w:rsidRPr="0067622F" w:rsidRDefault="00141BD2" w:rsidP="00141BD2">
      <w:pPr>
        <w:pStyle w:val="Default"/>
        <w:spacing w:after="120" w:line="360" w:lineRule="auto"/>
        <w:rPr>
          <w:rFonts w:ascii="Arial" w:hAnsi="Arial" w:cs="Arial"/>
          <w:b/>
          <w:sz w:val="20"/>
          <w:szCs w:val="20"/>
        </w:rPr>
      </w:pPr>
    </w:p>
    <w:p w14:paraId="31F13107" w14:textId="77777777" w:rsidR="00141BD2" w:rsidRPr="0067622F" w:rsidRDefault="00141BD2" w:rsidP="00141BD2">
      <w:pPr>
        <w:pStyle w:val="Default"/>
        <w:spacing w:after="120" w:line="360" w:lineRule="auto"/>
        <w:ind w:left="-142"/>
        <w:rPr>
          <w:rFonts w:ascii="Arial" w:hAnsi="Arial" w:cs="Arial"/>
          <w:b/>
          <w:sz w:val="20"/>
          <w:szCs w:val="20"/>
        </w:rPr>
      </w:pPr>
      <w:r w:rsidRPr="0067622F">
        <w:rPr>
          <w:rFonts w:ascii="Arial" w:hAnsi="Arial" w:cs="Arial"/>
          <w:b/>
          <w:sz w:val="20"/>
          <w:szCs w:val="20"/>
        </w:rPr>
        <w:t>V.3.6 - Localização das Áreas de Risco</w:t>
      </w:r>
    </w:p>
    <w:p w14:paraId="0CF2B2DC" w14:textId="77777777" w:rsidR="00141BD2" w:rsidRPr="0067622F" w:rsidRDefault="00141BD2" w:rsidP="00141BD2">
      <w:pPr>
        <w:pStyle w:val="Default"/>
        <w:spacing w:after="120" w:line="360" w:lineRule="auto"/>
        <w:ind w:left="-142" w:firstLine="850"/>
        <w:jc w:val="both"/>
        <w:rPr>
          <w:rFonts w:ascii="Arial" w:hAnsi="Arial" w:cs="Arial"/>
          <w:sz w:val="20"/>
          <w:szCs w:val="20"/>
        </w:rPr>
      </w:pPr>
      <w:r w:rsidRPr="0067622F">
        <w:rPr>
          <w:rFonts w:ascii="Arial" w:hAnsi="Arial" w:cs="Arial"/>
          <w:sz w:val="20"/>
          <w:szCs w:val="20"/>
        </w:rPr>
        <w:t xml:space="preserve">Todos os atendimentos com potencial risco de exposição a agentes biológicos, </w:t>
      </w:r>
      <w:proofErr w:type="gramStart"/>
      <w:r w:rsidRPr="0067622F">
        <w:rPr>
          <w:rFonts w:ascii="Arial" w:hAnsi="Arial" w:cs="Arial"/>
          <w:sz w:val="20"/>
          <w:szCs w:val="20"/>
        </w:rPr>
        <w:t>situações de emergência</w:t>
      </w:r>
      <w:proofErr w:type="gramEnd"/>
      <w:r w:rsidRPr="0067622F">
        <w:rPr>
          <w:rFonts w:ascii="Arial" w:hAnsi="Arial" w:cs="Arial"/>
          <w:sz w:val="20"/>
          <w:szCs w:val="20"/>
        </w:rPr>
        <w:t xml:space="preserve"> e procedimentos devem ser realizados, habitualmente, na sala de emergência.</w:t>
      </w:r>
    </w:p>
    <w:p w14:paraId="55C4692D" w14:textId="77777777" w:rsidR="00141BD2" w:rsidRPr="0067622F" w:rsidRDefault="00141BD2" w:rsidP="00141BD2">
      <w:pPr>
        <w:pStyle w:val="Default"/>
        <w:spacing w:after="120" w:line="360" w:lineRule="auto"/>
        <w:ind w:left="-142" w:firstLine="850"/>
        <w:jc w:val="both"/>
        <w:rPr>
          <w:rFonts w:ascii="Arial" w:hAnsi="Arial" w:cs="Arial"/>
          <w:sz w:val="20"/>
          <w:szCs w:val="20"/>
        </w:rPr>
      </w:pPr>
      <w:r w:rsidRPr="0067622F">
        <w:rPr>
          <w:rFonts w:ascii="Arial" w:hAnsi="Arial" w:cs="Arial"/>
          <w:sz w:val="20"/>
          <w:szCs w:val="20"/>
        </w:rPr>
        <w:lastRenderedPageBreak/>
        <w:t xml:space="preserve">Nos consultórios médicos não são realizados procedimentos, sendo o risco de exposição a agentes biológicos inerentes ao contato com pacientes portadores de moléstias </w:t>
      </w:r>
      <w:proofErr w:type="spellStart"/>
      <w:r w:rsidRPr="0067622F">
        <w:rPr>
          <w:rFonts w:ascii="Arial" w:hAnsi="Arial" w:cs="Arial"/>
          <w:sz w:val="20"/>
          <w:szCs w:val="20"/>
        </w:rPr>
        <w:t>infecto-contagiosas</w:t>
      </w:r>
      <w:proofErr w:type="spellEnd"/>
      <w:r w:rsidRPr="0067622F">
        <w:rPr>
          <w:rFonts w:ascii="Arial" w:hAnsi="Arial" w:cs="Arial"/>
          <w:sz w:val="20"/>
          <w:szCs w:val="20"/>
        </w:rPr>
        <w:t>, semelhante aos das demais áreas do ambulatório.</w:t>
      </w:r>
    </w:p>
    <w:p w14:paraId="6B03D995" w14:textId="77777777" w:rsidR="00141BD2" w:rsidRDefault="00141BD2" w:rsidP="00141BD2">
      <w:pPr>
        <w:pStyle w:val="Default"/>
        <w:spacing w:after="120" w:line="360" w:lineRule="auto"/>
        <w:rPr>
          <w:rFonts w:ascii="Arial" w:hAnsi="Arial" w:cs="Arial"/>
          <w:sz w:val="20"/>
          <w:szCs w:val="20"/>
        </w:rPr>
      </w:pPr>
    </w:p>
    <w:p w14:paraId="0DBF1B19" w14:textId="77777777" w:rsidR="00141BD2" w:rsidRPr="0067622F" w:rsidRDefault="00141BD2" w:rsidP="00141BD2">
      <w:pPr>
        <w:pStyle w:val="Default"/>
        <w:spacing w:after="120" w:line="360" w:lineRule="auto"/>
        <w:jc w:val="both"/>
        <w:rPr>
          <w:rFonts w:ascii="Arial" w:hAnsi="Arial" w:cs="Arial"/>
          <w:b/>
          <w:sz w:val="22"/>
          <w:szCs w:val="22"/>
        </w:rPr>
      </w:pPr>
      <w:r w:rsidRPr="0067622F">
        <w:rPr>
          <w:rFonts w:ascii="Arial" w:hAnsi="Arial" w:cs="Arial"/>
          <w:b/>
          <w:sz w:val="22"/>
          <w:szCs w:val="22"/>
        </w:rPr>
        <w:t>V.4 - Medidas Preventivas e Condutas na Exposição Acidental aos Agentes Biológicos</w:t>
      </w:r>
    </w:p>
    <w:p w14:paraId="777F4C32" w14:textId="77777777" w:rsidR="00141BD2" w:rsidRPr="0067622F" w:rsidRDefault="00141BD2" w:rsidP="00141BD2">
      <w:pPr>
        <w:autoSpaceDE w:val="0"/>
        <w:autoSpaceDN w:val="0"/>
        <w:adjustRightInd w:val="0"/>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V.4.1 - Introdução</w:t>
      </w:r>
    </w:p>
    <w:p w14:paraId="699B0A41"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Os acidentes de trabalho com sangue e outros fluidos potencialmente contaminados devem ser tratados como casos de emergência, uma vez que as intervenções para profilaxia da infecção pelo HIV e hepatite necessitam ser iniciadas logo após a ocorrência do acidente (idealmente até 2 horas após) para a sua maior eficácia.</w:t>
      </w:r>
    </w:p>
    <w:p w14:paraId="7BE5559F"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É importante ressaltar que as medidas profiláticas pós-exposição não são totalmente eficazes; daí a necessidade de se implementar ações educativas permanentes, que familiarizem os profissionais de saúde com as precauções universais e os conscientizem da necessidade de </w:t>
      </w:r>
      <w:proofErr w:type="spellStart"/>
      <w:r w:rsidRPr="0067622F">
        <w:rPr>
          <w:rFonts w:ascii="Arial" w:hAnsi="Arial" w:cs="Arial"/>
          <w:sz w:val="20"/>
          <w:szCs w:val="20"/>
          <w:lang w:eastAsia="pt-BR"/>
        </w:rPr>
        <w:t>empregá</w:t>
      </w:r>
      <w:proofErr w:type="spellEnd"/>
      <w:r w:rsidRPr="0067622F">
        <w:rPr>
          <w:rFonts w:ascii="Arial" w:hAnsi="Arial" w:cs="Arial"/>
          <w:sz w:val="20"/>
          <w:szCs w:val="20"/>
          <w:lang w:eastAsia="pt-BR"/>
        </w:rPr>
        <w:t>–</w:t>
      </w:r>
      <w:proofErr w:type="spellStart"/>
      <w:r w:rsidRPr="0067622F">
        <w:rPr>
          <w:rFonts w:ascii="Arial" w:hAnsi="Arial" w:cs="Arial"/>
          <w:sz w:val="20"/>
          <w:szCs w:val="20"/>
          <w:lang w:eastAsia="pt-BR"/>
        </w:rPr>
        <w:t>las</w:t>
      </w:r>
      <w:proofErr w:type="spellEnd"/>
      <w:r w:rsidRPr="0067622F">
        <w:rPr>
          <w:rFonts w:ascii="Arial" w:hAnsi="Arial" w:cs="Arial"/>
          <w:sz w:val="20"/>
          <w:szCs w:val="20"/>
          <w:lang w:eastAsia="pt-BR"/>
        </w:rPr>
        <w:t xml:space="preserve"> adequadamente, como medida mais eficaz para a redução do risco de infecção pelo HIV ou hepatite em ambiente ocupacional. Recomenda-se também que na assistência aos pacientes onde se manipula sangue, secreções, excreções, mucosas ou pele não-íntegra, faça-se o uso de equipamentos de proteção individual (máscaras, gorros, óculos de proteção, luvas, capotes e botas) e dos cuidados com materiais </w:t>
      </w:r>
      <w:proofErr w:type="spellStart"/>
      <w:r w:rsidRPr="0067622F">
        <w:rPr>
          <w:rFonts w:ascii="Arial" w:hAnsi="Arial" w:cs="Arial"/>
          <w:sz w:val="20"/>
          <w:szCs w:val="20"/>
          <w:lang w:eastAsia="pt-BR"/>
        </w:rPr>
        <w:t>pérfuro-cortantes</w:t>
      </w:r>
      <w:proofErr w:type="spellEnd"/>
      <w:r w:rsidRPr="0067622F">
        <w:rPr>
          <w:rFonts w:ascii="Arial" w:hAnsi="Arial" w:cs="Arial"/>
          <w:sz w:val="20"/>
          <w:szCs w:val="20"/>
          <w:lang w:eastAsia="pt-BR"/>
        </w:rPr>
        <w:t>, mesmo esterilizados.</w:t>
      </w:r>
    </w:p>
    <w:p w14:paraId="2812B830"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O profissional de saúde deve considerar todo o material biológico como potencialmente contaminado. Alguns dos principais fatores de risco para transmissão de AIDS ocupacional estão relacionados ao próprio acidente, à fonte contaminadora ou “doadora” e ao receptor acidentado. São também fatores determinantes do grau de risco os tipos de exposição (percutânea, mucosa ou cutânea), o tipo de fluido envolvido (sangue ou fluidos corpóreos), a concentração de HIV-1 no fluido, a gravidade da exposição (profundidade, extensão tecido envolvido), fatores físicos (temperatura, pH e umidade) e, ainda, o tempo do espécime (isto é, o tempo entre a exposição e a retirada do espécime do paciente). Os estudos têm demonstrado que, a grande maioria dos casos de transmissão ocupacional de aids ocorreu após exposição a amostras frescas.</w:t>
      </w:r>
    </w:p>
    <w:p w14:paraId="7130D3FD" w14:textId="05CD7B71"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A transmissão do HIV em profissionais da saúde é bastante diferenciada da transmissão do vírus da hepatite B. As taxas de infecção ocupacional com o HIV têm sido da ordem de 0,2 – 0,5%, </w:t>
      </w:r>
      <w:r w:rsidR="00154E26" w:rsidRPr="0067622F">
        <w:rPr>
          <w:rFonts w:ascii="Arial" w:hAnsi="Arial" w:cs="Arial"/>
          <w:sz w:val="20"/>
          <w:szCs w:val="20"/>
          <w:lang w:eastAsia="pt-BR"/>
        </w:rPr>
        <w:t>enquanto</w:t>
      </w:r>
      <w:r w:rsidRPr="0067622F">
        <w:rPr>
          <w:rFonts w:ascii="Arial" w:hAnsi="Arial" w:cs="Arial"/>
          <w:sz w:val="20"/>
          <w:szCs w:val="20"/>
          <w:lang w:eastAsia="pt-BR"/>
        </w:rPr>
        <w:t xml:space="preserve"> para o vírus da hepatite B podem chegar a até 40%.</w:t>
      </w:r>
    </w:p>
    <w:p w14:paraId="794186D8"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Mas as medidas de prevenção necessárias, que devem ser seguidas pelos profissionais de saúde, são equivalentes às utilizadas para hepatite B.</w:t>
      </w:r>
    </w:p>
    <w:p w14:paraId="61DF0913"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É importante ressaltar que não existe intervenção específica para prevenir a transmissão do vírus da hepatite C após exposição ocupacional.</w:t>
      </w:r>
    </w:p>
    <w:p w14:paraId="446BFA70"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Diante deste cenário, a prevenção ainda é a melhor das alternativas. Os profissionais de saúde estão expostos a um variado elenco de riscos biológicos, e por isso, o exercício da “segurança no manejo de produtos e </w:t>
      </w:r>
      <w:r w:rsidRPr="0067622F">
        <w:rPr>
          <w:rFonts w:ascii="Arial" w:hAnsi="Arial" w:cs="Arial"/>
          <w:sz w:val="20"/>
          <w:szCs w:val="20"/>
          <w:lang w:eastAsia="pt-BR"/>
        </w:rPr>
        <w:lastRenderedPageBreak/>
        <w:t>técnicas biológicas”, como define-se a biossegurança, requer abordagem multidisciplinar, envolvendo ampla gama de especialistas.</w:t>
      </w:r>
    </w:p>
    <w:p w14:paraId="7D738109"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O gerenciamento e controle das doenças ocupacionais resultantes de exposição a agentes biológicos presentes no local de trabalho são parte importantíssima das atividades de educação e prevenção dessas doenças.</w:t>
      </w:r>
    </w:p>
    <w:p w14:paraId="162AC9B0" w14:textId="77777777" w:rsidR="00141BD2" w:rsidRPr="0067622F" w:rsidRDefault="00141BD2" w:rsidP="00141BD2">
      <w:pPr>
        <w:autoSpaceDE w:val="0"/>
        <w:autoSpaceDN w:val="0"/>
        <w:adjustRightInd w:val="0"/>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V.4.2 - Risco de transmissão</w:t>
      </w:r>
    </w:p>
    <w:p w14:paraId="3D0BAA6D" w14:textId="1C93EE38" w:rsidR="00141BD2" w:rsidRDefault="00141BD2" w:rsidP="005B6813">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“O risco médio de se adquirir o HIV em situações de exposição a sangue é aproximadamente 0,3% após exposição percutânea e de 0,09% após exposição mucosa. O risco de infecção associado a outros materiais biológicos é inferior, ainda que não seja definido”. “A probabilidade de infecção pelo vírus da hepatite B após exposição percut</w:t>
      </w:r>
      <w:r w:rsidR="000141FC" w:rsidRPr="0067622F">
        <w:rPr>
          <w:rFonts w:ascii="Arial" w:hAnsi="Arial" w:cs="Arial"/>
          <w:sz w:val="20"/>
          <w:szCs w:val="20"/>
          <w:lang w:eastAsia="pt-BR"/>
        </w:rPr>
        <w:t>ânea é significativamente maior</w:t>
      </w:r>
      <w:r w:rsidRPr="0067622F">
        <w:rPr>
          <w:rFonts w:ascii="Arial" w:hAnsi="Arial" w:cs="Arial"/>
          <w:sz w:val="20"/>
          <w:szCs w:val="20"/>
          <w:lang w:eastAsia="pt-BR"/>
        </w:rPr>
        <w:t>”</w:t>
      </w:r>
      <w:r w:rsidR="000141FC" w:rsidRPr="0067622F">
        <w:rPr>
          <w:rFonts w:ascii="Arial" w:hAnsi="Arial" w:cs="Arial"/>
          <w:sz w:val="20"/>
          <w:szCs w:val="20"/>
          <w:lang w:eastAsia="pt-BR"/>
        </w:rPr>
        <w:t xml:space="preserve"> </w:t>
      </w:r>
      <w:r w:rsidRPr="0067622F">
        <w:rPr>
          <w:rFonts w:ascii="Arial" w:hAnsi="Arial" w:cs="Arial"/>
          <w:sz w:val="20"/>
          <w:szCs w:val="20"/>
          <w:lang w:eastAsia="pt-BR"/>
        </w:rPr>
        <w:t xml:space="preserve">(MS, 2004), e está relacionada, principalmente, ao grau de exposição ao sangue no ambiente de trabalho </w:t>
      </w:r>
      <w:proofErr w:type="gramStart"/>
      <w:r w:rsidRPr="0067622F">
        <w:rPr>
          <w:rFonts w:ascii="Arial" w:hAnsi="Arial" w:cs="Arial"/>
          <w:sz w:val="20"/>
          <w:szCs w:val="20"/>
          <w:lang w:eastAsia="pt-BR"/>
        </w:rPr>
        <w:t>e também</w:t>
      </w:r>
      <w:proofErr w:type="gramEnd"/>
      <w:r w:rsidRPr="0067622F">
        <w:rPr>
          <w:rFonts w:ascii="Arial" w:hAnsi="Arial" w:cs="Arial"/>
          <w:sz w:val="20"/>
          <w:szCs w:val="20"/>
          <w:lang w:eastAsia="pt-BR"/>
        </w:rPr>
        <w:t xml:space="preserve"> à presença ou não do antígeno HB e Ag no paciente fonte”.</w:t>
      </w:r>
    </w:p>
    <w:p w14:paraId="50C74D29" w14:textId="77777777" w:rsidR="005B6813" w:rsidRPr="0067622F" w:rsidRDefault="005B6813" w:rsidP="005B6813">
      <w:pPr>
        <w:autoSpaceDE w:val="0"/>
        <w:autoSpaceDN w:val="0"/>
        <w:adjustRightInd w:val="0"/>
        <w:spacing w:after="120" w:line="360" w:lineRule="auto"/>
        <w:ind w:firstLine="708"/>
        <w:jc w:val="both"/>
        <w:rPr>
          <w:rFonts w:ascii="Arial" w:hAnsi="Arial" w:cs="Arial"/>
          <w:b/>
          <w:sz w:val="20"/>
          <w:szCs w:val="20"/>
          <w:lang w:eastAsia="pt-BR"/>
        </w:rPr>
      </w:pPr>
    </w:p>
    <w:p w14:paraId="0395EF92" w14:textId="77777777" w:rsidR="00141BD2" w:rsidRPr="0067622F" w:rsidRDefault="00141BD2" w:rsidP="00141BD2">
      <w:pPr>
        <w:autoSpaceDE w:val="0"/>
        <w:autoSpaceDN w:val="0"/>
        <w:adjustRightInd w:val="0"/>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V.4.3 - Prevenção da exposição</w:t>
      </w:r>
    </w:p>
    <w:p w14:paraId="2A146199"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A prevenção da exposição a sangue e outros fluidos é a principal medida para que não haja contaminação nos serviços de saúde. Portanto, as medidas de precauções básicas deverão ser seguidas rotineiramente, observando -se desde o uso de barreiras de proteção (luvas, capote, óculos), bem como as seguintes recomendações específicas:</w:t>
      </w:r>
    </w:p>
    <w:p w14:paraId="6AF0EED7" w14:textId="77777777" w:rsidR="00141BD2" w:rsidRPr="0067622F" w:rsidRDefault="00141BD2" w:rsidP="00141BD2">
      <w:pPr>
        <w:numPr>
          <w:ilvl w:val="0"/>
          <w:numId w:val="5"/>
        </w:num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Atenção máxima na realização dos procedimentos;</w:t>
      </w:r>
    </w:p>
    <w:p w14:paraId="38079A27" w14:textId="77777777" w:rsidR="00141BD2" w:rsidRPr="0067622F" w:rsidRDefault="00141BD2" w:rsidP="00141BD2">
      <w:pPr>
        <w:numPr>
          <w:ilvl w:val="0"/>
          <w:numId w:val="5"/>
        </w:num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Agulhas não devem ser reencapadas ou retiradas da seringa com as mãos;</w:t>
      </w:r>
    </w:p>
    <w:p w14:paraId="16B1A150" w14:textId="77777777" w:rsidR="00141BD2" w:rsidRPr="0067622F" w:rsidRDefault="00141BD2" w:rsidP="00141BD2">
      <w:pPr>
        <w:numPr>
          <w:ilvl w:val="0"/>
          <w:numId w:val="5"/>
        </w:num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 xml:space="preserve">Todo material perfurocortante (agulhas, </w:t>
      </w:r>
      <w:proofErr w:type="spellStart"/>
      <w:r w:rsidRPr="0067622F">
        <w:rPr>
          <w:rFonts w:ascii="Arial" w:hAnsi="Arial" w:cs="Arial"/>
          <w:sz w:val="20"/>
          <w:szCs w:val="20"/>
          <w:lang w:eastAsia="pt-BR"/>
        </w:rPr>
        <w:t>scalp</w:t>
      </w:r>
      <w:proofErr w:type="spellEnd"/>
      <w:r w:rsidRPr="0067622F">
        <w:rPr>
          <w:rFonts w:ascii="Arial" w:hAnsi="Arial" w:cs="Arial"/>
          <w:sz w:val="20"/>
          <w:szCs w:val="20"/>
          <w:lang w:eastAsia="pt-BR"/>
        </w:rPr>
        <w:t>, lâminas de bisturi, vidrarias, entre outros), mesmo que estéril, deve ser desprezado em recipientes resistentes à perfuração e com tampa. Estes recipientes devem ser colocados sempre próximos do local onde é realizado o procedimento;</w:t>
      </w:r>
    </w:p>
    <w:p w14:paraId="3786370E" w14:textId="77777777" w:rsidR="00141BD2" w:rsidRPr="0067622F" w:rsidRDefault="00141BD2" w:rsidP="00141BD2">
      <w:pPr>
        <w:numPr>
          <w:ilvl w:val="0"/>
          <w:numId w:val="5"/>
        </w:num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i/>
          <w:iCs/>
          <w:sz w:val="20"/>
          <w:szCs w:val="20"/>
          <w:lang w:eastAsia="pt-BR"/>
        </w:rPr>
        <w:t>O</w:t>
      </w:r>
      <w:r w:rsidRPr="0067622F">
        <w:rPr>
          <w:rFonts w:ascii="Arial" w:hAnsi="Arial" w:cs="Arial"/>
          <w:sz w:val="20"/>
          <w:szCs w:val="20"/>
          <w:lang w:eastAsia="pt-BR"/>
        </w:rPr>
        <w:t>s profissionais de saúde devem ser vacinados para a hepatite B, independentemente de ocorrerem acidentes.</w:t>
      </w:r>
    </w:p>
    <w:p w14:paraId="32FAE862" w14:textId="61D07CD1" w:rsidR="00141BD2" w:rsidRDefault="00141BD2" w:rsidP="00141BD2">
      <w:pPr>
        <w:autoSpaceDE w:val="0"/>
        <w:autoSpaceDN w:val="0"/>
        <w:adjustRightInd w:val="0"/>
        <w:spacing w:after="120" w:line="360" w:lineRule="auto"/>
        <w:ind w:firstLine="360"/>
        <w:jc w:val="both"/>
        <w:rPr>
          <w:rFonts w:ascii="Arial" w:hAnsi="Arial" w:cs="Arial"/>
          <w:sz w:val="20"/>
          <w:szCs w:val="20"/>
          <w:lang w:eastAsia="pt-BR"/>
        </w:rPr>
      </w:pPr>
      <w:r w:rsidRPr="0067622F">
        <w:rPr>
          <w:rFonts w:ascii="Arial" w:hAnsi="Arial" w:cs="Arial"/>
          <w:sz w:val="20"/>
          <w:szCs w:val="20"/>
          <w:lang w:eastAsia="pt-BR"/>
        </w:rPr>
        <w:t xml:space="preserve">A </w:t>
      </w:r>
      <w:r w:rsidR="00154E26" w:rsidRPr="0067622F">
        <w:rPr>
          <w:rFonts w:ascii="Arial" w:hAnsi="Arial" w:cs="Arial"/>
          <w:sz w:val="20"/>
          <w:szCs w:val="20"/>
          <w:lang w:eastAsia="pt-BR"/>
        </w:rPr>
        <w:t>frequência</w:t>
      </w:r>
      <w:r w:rsidRPr="0067622F">
        <w:rPr>
          <w:rFonts w:ascii="Arial" w:hAnsi="Arial" w:cs="Arial"/>
          <w:sz w:val="20"/>
          <w:szCs w:val="20"/>
          <w:lang w:eastAsia="pt-BR"/>
        </w:rPr>
        <w:t xml:space="preserve"> de exposições a sangue pode ser reduzida, em mais de 50%, quando esforços são direcionados para a motivação e para o cumprimento destas recomendações.</w:t>
      </w:r>
    </w:p>
    <w:p w14:paraId="47D824CB" w14:textId="77777777" w:rsidR="005B6813" w:rsidRDefault="005B6813" w:rsidP="00141BD2">
      <w:pPr>
        <w:autoSpaceDE w:val="0"/>
        <w:autoSpaceDN w:val="0"/>
        <w:adjustRightInd w:val="0"/>
        <w:spacing w:after="120" w:line="360" w:lineRule="auto"/>
        <w:ind w:firstLine="360"/>
        <w:jc w:val="both"/>
        <w:rPr>
          <w:rFonts w:ascii="Arial" w:hAnsi="Arial" w:cs="Arial"/>
          <w:sz w:val="20"/>
          <w:szCs w:val="20"/>
          <w:lang w:eastAsia="pt-BR"/>
        </w:rPr>
      </w:pPr>
    </w:p>
    <w:p w14:paraId="62F9B90C" w14:textId="77777777" w:rsidR="00141BD2" w:rsidRPr="0067622F" w:rsidRDefault="00141BD2" w:rsidP="00141BD2">
      <w:pPr>
        <w:pStyle w:val="Default"/>
        <w:spacing w:after="120" w:line="360" w:lineRule="auto"/>
        <w:jc w:val="both"/>
        <w:rPr>
          <w:rFonts w:ascii="Arial" w:hAnsi="Arial" w:cs="Arial"/>
          <w:b/>
          <w:bCs/>
          <w:sz w:val="20"/>
          <w:szCs w:val="20"/>
          <w:lang w:eastAsia="pt-BR"/>
        </w:rPr>
      </w:pPr>
      <w:r w:rsidRPr="0067622F">
        <w:rPr>
          <w:rFonts w:ascii="Arial" w:hAnsi="Arial" w:cs="Arial"/>
          <w:b/>
          <w:bCs/>
          <w:sz w:val="20"/>
          <w:szCs w:val="20"/>
          <w:lang w:eastAsia="pt-BR"/>
        </w:rPr>
        <w:t>V.4.4 - Notificação dos Acidentes</w:t>
      </w:r>
    </w:p>
    <w:p w14:paraId="213CDA3A" w14:textId="77777777" w:rsidR="00141BD2" w:rsidRPr="0067622F" w:rsidRDefault="00141BD2" w:rsidP="00141BD2">
      <w:pPr>
        <w:pStyle w:val="Default"/>
        <w:spacing w:after="120" w:line="360" w:lineRule="auto"/>
        <w:ind w:firstLine="708"/>
        <w:jc w:val="both"/>
        <w:rPr>
          <w:rFonts w:ascii="Arial" w:hAnsi="Arial" w:cs="Arial"/>
          <w:sz w:val="20"/>
          <w:szCs w:val="20"/>
        </w:rPr>
      </w:pPr>
      <w:r w:rsidRPr="0067622F">
        <w:rPr>
          <w:rFonts w:ascii="Arial" w:hAnsi="Arial" w:cs="Arial"/>
          <w:sz w:val="20"/>
          <w:szCs w:val="20"/>
        </w:rPr>
        <w:t xml:space="preserve">A Comunicação de acidente de trabalho deverá ser emitida pela empresa, com atenção ao prazo legal de 24 horas para a emissão. </w:t>
      </w:r>
    </w:p>
    <w:p w14:paraId="368CA6E2"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rPr>
        <w:lastRenderedPageBreak/>
        <w:t xml:space="preserve">O acidente com exposição ao material biológico é um agravo de notificação compulsória, cujo instrumento de notificação é a </w:t>
      </w:r>
      <w:r w:rsidRPr="0067622F">
        <w:rPr>
          <w:rFonts w:ascii="Arial" w:hAnsi="Arial" w:cs="Arial"/>
          <w:sz w:val="20"/>
          <w:szCs w:val="20"/>
          <w:lang w:eastAsia="pt-BR"/>
        </w:rPr>
        <w:t xml:space="preserve">é a Ficha de Notificação, a ser padronizada pelo Ministério da Saúde, segundo o fluxo do Sistema de Informação de Agravos de Notificação (SINAN). </w:t>
      </w:r>
    </w:p>
    <w:p w14:paraId="407A302D" w14:textId="77777777" w:rsidR="004D7B27" w:rsidRDefault="004D7B27" w:rsidP="00141BD2">
      <w:pPr>
        <w:autoSpaceDE w:val="0"/>
        <w:autoSpaceDN w:val="0"/>
        <w:adjustRightInd w:val="0"/>
        <w:spacing w:after="120" w:line="360" w:lineRule="auto"/>
        <w:jc w:val="both"/>
        <w:rPr>
          <w:rFonts w:ascii="Arial" w:hAnsi="Arial" w:cs="Arial"/>
          <w:b/>
          <w:bCs/>
          <w:sz w:val="20"/>
          <w:szCs w:val="20"/>
          <w:lang w:eastAsia="pt-BR"/>
        </w:rPr>
      </w:pPr>
    </w:p>
    <w:p w14:paraId="6BC648F5" w14:textId="1087B011" w:rsidR="00141BD2" w:rsidRPr="0067622F" w:rsidRDefault="00141BD2" w:rsidP="00141BD2">
      <w:pPr>
        <w:autoSpaceDE w:val="0"/>
        <w:autoSpaceDN w:val="0"/>
        <w:adjustRightInd w:val="0"/>
        <w:spacing w:after="120" w:line="360" w:lineRule="auto"/>
        <w:jc w:val="both"/>
        <w:rPr>
          <w:rFonts w:ascii="Arial" w:hAnsi="Arial" w:cs="Arial"/>
          <w:b/>
          <w:bCs/>
          <w:sz w:val="20"/>
          <w:szCs w:val="20"/>
          <w:lang w:eastAsia="pt-BR"/>
        </w:rPr>
      </w:pPr>
      <w:r w:rsidRPr="0067622F">
        <w:rPr>
          <w:rFonts w:ascii="Arial" w:hAnsi="Arial" w:cs="Arial"/>
          <w:b/>
          <w:bCs/>
          <w:sz w:val="20"/>
          <w:szCs w:val="20"/>
          <w:lang w:eastAsia="pt-BR"/>
        </w:rPr>
        <w:t>V.4.5 - Procedimentos em acidentes com exposição ao material biológico</w:t>
      </w:r>
    </w:p>
    <w:p w14:paraId="30E9D88A" w14:textId="77777777" w:rsidR="00141BD2" w:rsidRPr="0067622F" w:rsidRDefault="00141BD2" w:rsidP="00141BD2">
      <w:pPr>
        <w:autoSpaceDE w:val="0"/>
        <w:autoSpaceDN w:val="0"/>
        <w:adjustRightInd w:val="0"/>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V.4.5.1 - Cuidados imediatos com a área de exposição</w:t>
      </w:r>
    </w:p>
    <w:p w14:paraId="1624F197" w14:textId="4816C65F" w:rsidR="00141BD2"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Recomenda-se como primeira conduta a lavagem exaustiva do local com água e sabão, nos casos de exposição percutânea ou cutânea. Nas exposições de mucosas, deve - se lavar exaustivamente com água ou com solução salina fisiológica. Procedimentos que aumentam a área exposta (cortes, injeções locais) e a utilização de soluções irritantes como éter, hipoclorito ou glutaraldeído são </w:t>
      </w:r>
      <w:r w:rsidR="00154E26" w:rsidRPr="0067622F">
        <w:rPr>
          <w:rFonts w:ascii="Arial" w:hAnsi="Arial" w:cs="Arial"/>
          <w:sz w:val="20"/>
          <w:szCs w:val="20"/>
          <w:lang w:eastAsia="pt-BR"/>
        </w:rPr>
        <w:t>contraindicados</w:t>
      </w:r>
      <w:r w:rsidRPr="0067622F">
        <w:rPr>
          <w:rFonts w:ascii="Arial" w:hAnsi="Arial" w:cs="Arial"/>
          <w:sz w:val="20"/>
          <w:szCs w:val="20"/>
          <w:lang w:eastAsia="pt-BR"/>
        </w:rPr>
        <w:t>.</w:t>
      </w:r>
    </w:p>
    <w:p w14:paraId="1C8716E1" w14:textId="1C534D3C" w:rsidR="002D3129" w:rsidRPr="003E7138" w:rsidRDefault="00F46E83" w:rsidP="00141BD2">
      <w:pPr>
        <w:autoSpaceDE w:val="0"/>
        <w:autoSpaceDN w:val="0"/>
        <w:adjustRightInd w:val="0"/>
        <w:spacing w:after="120" w:line="360" w:lineRule="auto"/>
        <w:ind w:firstLine="708"/>
        <w:jc w:val="both"/>
        <w:rPr>
          <w:rFonts w:ascii="Arial" w:hAnsi="Arial" w:cs="Arial"/>
          <w:sz w:val="20"/>
          <w:szCs w:val="20"/>
          <w:lang w:eastAsia="pt-BR"/>
        </w:rPr>
      </w:pPr>
      <w:r w:rsidRPr="003E7138">
        <w:rPr>
          <w:rFonts w:ascii="Arial" w:hAnsi="Arial" w:cs="Arial"/>
          <w:sz w:val="20"/>
          <w:szCs w:val="20"/>
          <w:lang w:eastAsia="pt-BR"/>
        </w:rPr>
        <w:t xml:space="preserve">Na ocorrência de acidente com material </w:t>
      </w:r>
      <w:r w:rsidR="00F17C1C" w:rsidRPr="003E7138">
        <w:rPr>
          <w:rFonts w:ascii="Arial" w:hAnsi="Arial" w:cs="Arial"/>
          <w:sz w:val="20"/>
          <w:szCs w:val="20"/>
          <w:lang w:eastAsia="pt-BR"/>
        </w:rPr>
        <w:t xml:space="preserve">biológico, o acidentado deverá informar ao </w:t>
      </w:r>
      <w:r w:rsidR="007A1BA5" w:rsidRPr="003E7138">
        <w:rPr>
          <w:rFonts w:ascii="Arial" w:hAnsi="Arial" w:cs="Arial"/>
          <w:sz w:val="20"/>
          <w:szCs w:val="20"/>
          <w:lang w:eastAsia="pt-BR"/>
        </w:rPr>
        <w:t>Supervisor de Saúde e / ou médico do trabalho que ser</w:t>
      </w:r>
      <w:r w:rsidR="00BC3F79" w:rsidRPr="003E7138">
        <w:rPr>
          <w:rFonts w:ascii="Arial" w:hAnsi="Arial" w:cs="Arial"/>
          <w:sz w:val="20"/>
          <w:szCs w:val="20"/>
          <w:lang w:eastAsia="pt-BR"/>
        </w:rPr>
        <w:t>ão responsáveis pelo atendimento de primeiros socorros</w:t>
      </w:r>
      <w:r w:rsidR="002D3129" w:rsidRPr="003E7138">
        <w:rPr>
          <w:rFonts w:ascii="Arial" w:hAnsi="Arial" w:cs="Arial"/>
          <w:sz w:val="20"/>
          <w:szCs w:val="20"/>
          <w:lang w:eastAsia="pt-BR"/>
        </w:rPr>
        <w:t xml:space="preserve">, coleta de todas as informações </w:t>
      </w:r>
      <w:r w:rsidR="00266D5C" w:rsidRPr="003E7138">
        <w:rPr>
          <w:rFonts w:ascii="Arial" w:hAnsi="Arial" w:cs="Arial"/>
          <w:sz w:val="20"/>
          <w:szCs w:val="20"/>
          <w:lang w:eastAsia="pt-BR"/>
        </w:rPr>
        <w:t>para o atendimento</w:t>
      </w:r>
      <w:r w:rsidR="00B95C5C" w:rsidRPr="003E7138">
        <w:rPr>
          <w:rFonts w:ascii="Arial" w:hAnsi="Arial" w:cs="Arial"/>
          <w:sz w:val="20"/>
          <w:szCs w:val="20"/>
          <w:lang w:eastAsia="pt-BR"/>
        </w:rPr>
        <w:t xml:space="preserve"> da </w:t>
      </w:r>
      <w:r w:rsidR="005B0DD5" w:rsidRPr="003E7138">
        <w:rPr>
          <w:rFonts w:ascii="Arial" w:hAnsi="Arial" w:cs="Arial"/>
          <w:sz w:val="20"/>
          <w:szCs w:val="20"/>
          <w:lang w:eastAsia="pt-BR"/>
        </w:rPr>
        <w:t xml:space="preserve">vítima e encaminhamento ao </w:t>
      </w:r>
      <w:r w:rsidR="00C24D10" w:rsidRPr="003E7138">
        <w:rPr>
          <w:rFonts w:ascii="Arial" w:hAnsi="Arial" w:cs="Arial"/>
          <w:sz w:val="20"/>
          <w:szCs w:val="20"/>
          <w:lang w:eastAsia="pt-BR"/>
        </w:rPr>
        <w:t xml:space="preserve">centro de </w:t>
      </w:r>
      <w:r w:rsidR="00154E26" w:rsidRPr="003E7138">
        <w:rPr>
          <w:rFonts w:ascii="Arial" w:hAnsi="Arial" w:cs="Arial"/>
          <w:sz w:val="20"/>
          <w:szCs w:val="20"/>
          <w:lang w:eastAsia="pt-BR"/>
        </w:rPr>
        <w:t>referência</w:t>
      </w:r>
      <w:r w:rsidR="00C24D10" w:rsidRPr="003E7138">
        <w:rPr>
          <w:rFonts w:ascii="Arial" w:hAnsi="Arial" w:cs="Arial"/>
          <w:sz w:val="20"/>
          <w:szCs w:val="20"/>
          <w:lang w:eastAsia="pt-BR"/>
        </w:rPr>
        <w:t xml:space="preserve"> em atendimento com acidentes de exposição ao material biológico mais próximo. </w:t>
      </w:r>
      <w:r w:rsidR="00B95C5C" w:rsidRPr="003E7138">
        <w:rPr>
          <w:rFonts w:ascii="Arial" w:hAnsi="Arial" w:cs="Arial"/>
          <w:sz w:val="20"/>
          <w:szCs w:val="20"/>
          <w:lang w:eastAsia="pt-BR"/>
        </w:rPr>
        <w:t xml:space="preserve"> </w:t>
      </w:r>
    </w:p>
    <w:p w14:paraId="69C918A9" w14:textId="6D66672D" w:rsidR="002D3129" w:rsidRPr="003E7138" w:rsidRDefault="002D3129" w:rsidP="00141BD2">
      <w:pPr>
        <w:autoSpaceDE w:val="0"/>
        <w:autoSpaceDN w:val="0"/>
        <w:adjustRightInd w:val="0"/>
        <w:spacing w:after="120" w:line="360" w:lineRule="auto"/>
        <w:ind w:firstLine="708"/>
        <w:jc w:val="both"/>
        <w:rPr>
          <w:rFonts w:ascii="Arial" w:hAnsi="Arial" w:cs="Arial"/>
          <w:sz w:val="20"/>
          <w:szCs w:val="20"/>
          <w:lang w:eastAsia="pt-BR"/>
        </w:rPr>
      </w:pPr>
      <w:r w:rsidRPr="003E7138">
        <w:rPr>
          <w:rFonts w:ascii="Arial" w:hAnsi="Arial" w:cs="Arial"/>
          <w:sz w:val="20"/>
          <w:szCs w:val="20"/>
          <w:lang w:eastAsia="pt-BR"/>
        </w:rPr>
        <w:t>O transporte e acompanhamento do profissional acidentado é de responsabilidade da empresa, a meio de transporte utilizado será definido pelo médico do trabalho após avaliação clínica do profissional acidentado. Os recursos de emergência disponíveis estão listados conforme PGS-M</w:t>
      </w:r>
      <w:r w:rsidR="00154E26">
        <w:rPr>
          <w:rFonts w:ascii="Arial" w:hAnsi="Arial" w:cs="Arial"/>
          <w:sz w:val="20"/>
          <w:szCs w:val="20"/>
          <w:lang w:eastAsia="pt-BR"/>
        </w:rPr>
        <w:t>O</w:t>
      </w:r>
      <w:r w:rsidRPr="003E7138">
        <w:rPr>
          <w:rFonts w:ascii="Arial" w:hAnsi="Arial" w:cs="Arial"/>
          <w:sz w:val="20"/>
          <w:szCs w:val="20"/>
          <w:lang w:eastAsia="pt-BR"/>
        </w:rPr>
        <w:t>S-EHS-212 Padronização do Atendimento de Emergência</w:t>
      </w:r>
      <w:r w:rsidR="00154E26">
        <w:rPr>
          <w:rFonts w:ascii="Arial" w:hAnsi="Arial" w:cs="Arial"/>
          <w:sz w:val="20"/>
          <w:szCs w:val="20"/>
          <w:lang w:eastAsia="pt-BR"/>
        </w:rPr>
        <w:t>.</w:t>
      </w:r>
    </w:p>
    <w:p w14:paraId="2254DDF6"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Os critérios de gravidade na avaliação do risco do acidente são dependentes do volume de sangue e da quantidade de vírus presente. Os acidentes mais graves são aqueles que envolvem: maior volume de sangue (lesões profundas provocadas por material perfuro cortante, presença de sangue visível no instrumento, acidentes com agulhas previamente utilizadas na veia ou artéria do paciente-fonte e acidentes com agulha de grosso calibre) e maior inoculo viral (situação que apresenta viremia elevada como pacientes -fonte com infecção pelo HIV/aids em estágios avançados da doença ou com infecção aguda pelo HIV).</w:t>
      </w:r>
    </w:p>
    <w:p w14:paraId="2CD3F15F" w14:textId="77777777"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p>
    <w:p w14:paraId="59DF9C88" w14:textId="77777777" w:rsidR="00141BD2" w:rsidRPr="0067622F" w:rsidRDefault="00141BD2" w:rsidP="00141BD2">
      <w:pPr>
        <w:pStyle w:val="Default"/>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V.4.5.2 - Exames Sorológicos e Quimioprofilaxia</w:t>
      </w:r>
    </w:p>
    <w:p w14:paraId="7284F122" w14:textId="77777777" w:rsidR="00141BD2" w:rsidRPr="0067622F" w:rsidRDefault="00141BD2" w:rsidP="00141BD2">
      <w:pPr>
        <w:autoSpaceDE w:val="0"/>
        <w:autoSpaceDN w:val="0"/>
        <w:adjustRightInd w:val="0"/>
        <w:spacing w:after="120" w:line="360" w:lineRule="auto"/>
        <w:jc w:val="both"/>
        <w:rPr>
          <w:rFonts w:ascii="Arial" w:hAnsi="Arial" w:cs="Arial"/>
          <w:b/>
          <w:sz w:val="20"/>
          <w:szCs w:val="20"/>
          <w:lang w:eastAsia="pt-BR"/>
        </w:rPr>
      </w:pPr>
      <w:r w:rsidRPr="0067622F">
        <w:rPr>
          <w:rFonts w:ascii="Arial" w:hAnsi="Arial" w:cs="Arial"/>
          <w:b/>
          <w:sz w:val="20"/>
          <w:szCs w:val="20"/>
          <w:lang w:eastAsia="pt-BR"/>
        </w:rPr>
        <w:t>V.4.5.2.1 - Exames sorológicos do paciente-fonte (HIV e hepatites virais)</w:t>
      </w:r>
    </w:p>
    <w:p w14:paraId="71239C7C"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Diante de um acidente com riscos para a infecção pelo HIV, o </w:t>
      </w:r>
      <w:r w:rsidRPr="0067622F">
        <w:rPr>
          <w:rFonts w:ascii="Arial" w:hAnsi="Arial" w:cs="Arial"/>
          <w:b/>
          <w:sz w:val="20"/>
          <w:szCs w:val="20"/>
          <w:lang w:eastAsia="pt-BR"/>
        </w:rPr>
        <w:t xml:space="preserve">teste </w:t>
      </w:r>
      <w:proofErr w:type="spellStart"/>
      <w:r w:rsidRPr="0067622F">
        <w:rPr>
          <w:rFonts w:ascii="Arial" w:hAnsi="Arial" w:cs="Arial"/>
          <w:b/>
          <w:sz w:val="20"/>
          <w:szCs w:val="20"/>
          <w:lang w:eastAsia="pt-BR"/>
        </w:rPr>
        <w:t>anti</w:t>
      </w:r>
      <w:proofErr w:type="spellEnd"/>
      <w:r w:rsidRPr="0067622F">
        <w:rPr>
          <w:rFonts w:ascii="Arial" w:hAnsi="Arial" w:cs="Arial"/>
          <w:b/>
          <w:sz w:val="20"/>
          <w:szCs w:val="20"/>
          <w:lang w:eastAsia="pt-BR"/>
        </w:rPr>
        <w:t xml:space="preserve"> -HIV</w:t>
      </w:r>
      <w:r w:rsidRPr="0067622F">
        <w:rPr>
          <w:rFonts w:ascii="Arial" w:hAnsi="Arial" w:cs="Arial"/>
          <w:sz w:val="20"/>
          <w:szCs w:val="20"/>
          <w:lang w:eastAsia="pt-BR"/>
        </w:rPr>
        <w:t xml:space="preserve"> é indicado tanto para o profissional acidentado quanto para o paciente -fonte, quando não conhecida a sua condição sorológica. Isto assegurará ao trabalhador os direitos trabalhistas devidos, caso venha a ocorrer soroconversão em função do acidente.</w:t>
      </w:r>
    </w:p>
    <w:p w14:paraId="7E373A0D"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O aconselhamento deve ser realizado tanto para o profissional de saúde quanto para o paciente-fonte e nesta ocasião, em função da avaliação do tipo de acidente ocorrido e da possibilidade de se obter os resultados </w:t>
      </w:r>
      <w:r w:rsidRPr="0067622F">
        <w:rPr>
          <w:rFonts w:ascii="Arial" w:hAnsi="Arial" w:cs="Arial"/>
          <w:sz w:val="20"/>
          <w:szCs w:val="20"/>
          <w:lang w:eastAsia="pt-BR"/>
        </w:rPr>
        <w:lastRenderedPageBreak/>
        <w:t xml:space="preserve">dos exames </w:t>
      </w:r>
      <w:proofErr w:type="spellStart"/>
      <w:r w:rsidRPr="0067622F">
        <w:rPr>
          <w:rFonts w:ascii="Arial" w:hAnsi="Arial" w:cs="Arial"/>
          <w:sz w:val="20"/>
          <w:szCs w:val="20"/>
          <w:lang w:eastAsia="pt-BR"/>
        </w:rPr>
        <w:t>anti-HIV</w:t>
      </w:r>
      <w:proofErr w:type="spellEnd"/>
      <w:r w:rsidRPr="0067622F">
        <w:rPr>
          <w:rFonts w:ascii="Arial" w:hAnsi="Arial" w:cs="Arial"/>
          <w:sz w:val="20"/>
          <w:szCs w:val="20"/>
          <w:lang w:eastAsia="pt-BR"/>
        </w:rPr>
        <w:t xml:space="preserve"> do paciente-fonte, será avaliada a indicação de </w:t>
      </w:r>
      <w:r w:rsidRPr="0067622F">
        <w:rPr>
          <w:rFonts w:ascii="Arial" w:hAnsi="Arial" w:cs="Arial"/>
          <w:b/>
          <w:sz w:val="20"/>
          <w:szCs w:val="20"/>
          <w:lang w:eastAsia="pt-BR"/>
        </w:rPr>
        <w:t xml:space="preserve">PEP (profilaxia pós-exposição ocupacional ao HIV) </w:t>
      </w:r>
      <w:r w:rsidRPr="0067622F">
        <w:rPr>
          <w:rFonts w:ascii="Arial" w:hAnsi="Arial" w:cs="Arial"/>
          <w:sz w:val="20"/>
          <w:szCs w:val="20"/>
          <w:lang w:eastAsia="pt-BR"/>
        </w:rPr>
        <w:t>para o profissional de saúde.</w:t>
      </w:r>
    </w:p>
    <w:p w14:paraId="27BB126A"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Sabe-se que a PEP pode reduzir a 81% o risco de soroconversão após a exposição ocupacional (MS, 2004). Caso haja a indicação de PEP, o profissional de saúde será orientado a utilizar preservativos nas relações sexuais, especialmente durante o período da janela imunológica.</w:t>
      </w:r>
    </w:p>
    <w:p w14:paraId="4EBE3291"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Uma vez que o paciente-fonte seja bem orientado sobre a importância destes exames para o profissional acidentado e garantido o sigilo sobre o seu resultado, dificilmente haverá a recusa para a realização destes exames. Entretanto, diante de uma recusa ou da impossibilidade de se determinar o paciente-fonte, a indicação da PEP levará em conta somente o tipo de acidente ocorrido e as condições clínicas do paciente-fonte.</w:t>
      </w:r>
    </w:p>
    <w:p w14:paraId="71A6B825"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Os exames </w:t>
      </w:r>
      <w:proofErr w:type="spellStart"/>
      <w:r w:rsidRPr="0067622F">
        <w:rPr>
          <w:rFonts w:ascii="Arial" w:hAnsi="Arial" w:cs="Arial"/>
          <w:sz w:val="20"/>
          <w:szCs w:val="20"/>
          <w:lang w:eastAsia="pt-BR"/>
        </w:rPr>
        <w:t>anti-HIV</w:t>
      </w:r>
      <w:proofErr w:type="spellEnd"/>
      <w:r w:rsidRPr="0067622F">
        <w:rPr>
          <w:rFonts w:ascii="Arial" w:hAnsi="Arial" w:cs="Arial"/>
          <w:sz w:val="20"/>
          <w:szCs w:val="20"/>
          <w:lang w:eastAsia="pt-BR"/>
        </w:rPr>
        <w:t xml:space="preserve"> deverão ser realizados pela primeira vez no dia do acidente, preferencialmente, até algumas horas após a exposição, objetivando determinar a condição sorológica do profissional de saúde antes do acidente.</w:t>
      </w:r>
    </w:p>
    <w:p w14:paraId="23F34A9F"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Quando os resultados dos exames do dia do acidente forem negativos, o profissional de saúde será orientado a repetir os exames com seis semanas, três meses e 6 meses, para o acompanhamento da janela imunológica. O profissional de saúde, como qualquer pessoa, tem direito ao sigilo sobre os resultados de seus exames e sobre os assuntos explicitados no aconselhamento.</w:t>
      </w:r>
      <w:r w:rsidRPr="0067622F">
        <w:rPr>
          <w:rFonts w:ascii="Arial" w:hAnsi="Arial" w:cs="Arial"/>
          <w:sz w:val="20"/>
          <w:szCs w:val="20"/>
          <w:lang w:eastAsia="pt-BR"/>
        </w:rPr>
        <w:tab/>
      </w:r>
    </w:p>
    <w:p w14:paraId="47826DE2"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Quanto às hepatites, nos casos em que o paciente-fonte é conhecido deve-se avaliar a sua </w:t>
      </w:r>
      <w:r w:rsidRPr="0067622F">
        <w:rPr>
          <w:rFonts w:ascii="Arial" w:hAnsi="Arial" w:cs="Arial"/>
          <w:b/>
          <w:sz w:val="20"/>
          <w:szCs w:val="20"/>
          <w:lang w:eastAsia="pt-BR"/>
        </w:rPr>
        <w:t>história prévia ou atual de hepatite B</w:t>
      </w:r>
      <w:r w:rsidRPr="0067622F">
        <w:rPr>
          <w:rFonts w:ascii="Arial" w:hAnsi="Arial" w:cs="Arial"/>
          <w:sz w:val="20"/>
          <w:szCs w:val="20"/>
          <w:lang w:eastAsia="pt-BR"/>
        </w:rPr>
        <w:t>. Quando houver evidência de que a hepatite B evoluiu para a cura (</w:t>
      </w:r>
      <w:proofErr w:type="spellStart"/>
      <w:r w:rsidRPr="0067622F">
        <w:rPr>
          <w:rFonts w:ascii="Arial" w:hAnsi="Arial" w:cs="Arial"/>
          <w:sz w:val="20"/>
          <w:szCs w:val="20"/>
          <w:lang w:eastAsia="pt-BR"/>
        </w:rPr>
        <w:t>anti-HBs</w:t>
      </w:r>
      <w:proofErr w:type="spellEnd"/>
      <w:r w:rsidRPr="0067622F">
        <w:rPr>
          <w:rFonts w:ascii="Arial" w:hAnsi="Arial" w:cs="Arial"/>
          <w:sz w:val="20"/>
          <w:szCs w:val="20"/>
          <w:lang w:eastAsia="pt-BR"/>
        </w:rPr>
        <w:t xml:space="preserve"> e </w:t>
      </w:r>
      <w:proofErr w:type="spellStart"/>
      <w:r w:rsidRPr="0067622F">
        <w:rPr>
          <w:rFonts w:ascii="Arial" w:hAnsi="Arial" w:cs="Arial"/>
          <w:sz w:val="20"/>
          <w:szCs w:val="20"/>
          <w:lang w:eastAsia="pt-BR"/>
        </w:rPr>
        <w:t>anti-HBc</w:t>
      </w:r>
      <w:proofErr w:type="spellEnd"/>
      <w:r w:rsidRPr="0067622F">
        <w:rPr>
          <w:rFonts w:ascii="Arial" w:hAnsi="Arial" w:cs="Arial"/>
          <w:sz w:val="20"/>
          <w:szCs w:val="20"/>
          <w:lang w:eastAsia="pt-BR"/>
        </w:rPr>
        <w:t xml:space="preserve"> positivos), não há risco de transmissão do vírus da hepatite B. No entanto, na presença de infecção aguda ou crônica (</w:t>
      </w:r>
      <w:proofErr w:type="spellStart"/>
      <w:r w:rsidRPr="0067622F">
        <w:rPr>
          <w:rFonts w:ascii="Arial" w:hAnsi="Arial" w:cs="Arial"/>
          <w:sz w:val="20"/>
          <w:szCs w:val="20"/>
          <w:lang w:eastAsia="pt-BR"/>
        </w:rPr>
        <w:t>HBsAg</w:t>
      </w:r>
      <w:proofErr w:type="spellEnd"/>
      <w:r w:rsidRPr="0067622F">
        <w:rPr>
          <w:rFonts w:ascii="Arial" w:hAnsi="Arial" w:cs="Arial"/>
          <w:sz w:val="20"/>
          <w:szCs w:val="20"/>
          <w:lang w:eastAsia="pt-BR"/>
        </w:rPr>
        <w:t xml:space="preserve"> positivo), há indicação das medidas de profilaxia e acompanhamento do profissional acidentado susceptível ao HBV.</w:t>
      </w:r>
    </w:p>
    <w:p w14:paraId="71BE52D0"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A maioria das exposições a materiais biológicos vai envolver pacientes–fonte conhecidos com história e sorologia desconhecidas para o HBV. Nestes casos, para que a necessidade das medidas profiláticas e de acompanhamento do profissional acidentado seja determinada, indica-se a pesquisa de </w:t>
      </w:r>
      <w:proofErr w:type="spellStart"/>
      <w:r w:rsidRPr="0067622F">
        <w:rPr>
          <w:rFonts w:ascii="Arial" w:hAnsi="Arial" w:cs="Arial"/>
          <w:sz w:val="20"/>
          <w:szCs w:val="20"/>
          <w:lang w:eastAsia="pt-BR"/>
        </w:rPr>
        <w:t>HBsAg</w:t>
      </w:r>
      <w:proofErr w:type="spellEnd"/>
      <w:r w:rsidRPr="0067622F">
        <w:rPr>
          <w:rFonts w:ascii="Arial" w:hAnsi="Arial" w:cs="Arial"/>
          <w:sz w:val="20"/>
          <w:szCs w:val="20"/>
          <w:lang w:eastAsia="pt-BR"/>
        </w:rPr>
        <w:t xml:space="preserve"> no paciente -fonte no momento do acidente. Não é necessária a solicitação de </w:t>
      </w:r>
      <w:proofErr w:type="spellStart"/>
      <w:r w:rsidRPr="0067622F">
        <w:rPr>
          <w:rFonts w:ascii="Arial" w:hAnsi="Arial" w:cs="Arial"/>
          <w:sz w:val="20"/>
          <w:szCs w:val="20"/>
          <w:lang w:eastAsia="pt-BR"/>
        </w:rPr>
        <w:t>HBeAg</w:t>
      </w:r>
      <w:proofErr w:type="spellEnd"/>
      <w:r w:rsidRPr="0067622F">
        <w:rPr>
          <w:rFonts w:ascii="Arial" w:hAnsi="Arial" w:cs="Arial"/>
          <w:sz w:val="20"/>
          <w:szCs w:val="20"/>
          <w:lang w:eastAsia="pt-BR"/>
        </w:rPr>
        <w:t xml:space="preserve"> já que a única informação adicional deste exame seria a caracterização de maior ou menor possibilidade de transmissão, mas sem nenhuma mudança na conduta a ser indicada.</w:t>
      </w:r>
    </w:p>
    <w:p w14:paraId="2D7BDBFE"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O primeiro caso descrito de aquisição profissional do vírus da hepatite B foi feito por Leibowitz, há quase 50 anos. O risco de aquisição do vírus da hepatite B após acidente com material </w:t>
      </w:r>
      <w:proofErr w:type="spellStart"/>
      <w:r w:rsidRPr="0067622F">
        <w:rPr>
          <w:rFonts w:ascii="Arial" w:hAnsi="Arial" w:cs="Arial"/>
          <w:sz w:val="20"/>
          <w:szCs w:val="20"/>
          <w:lang w:eastAsia="pt-BR"/>
        </w:rPr>
        <w:t>perfuro-cortante</w:t>
      </w:r>
      <w:proofErr w:type="spellEnd"/>
      <w:r w:rsidRPr="0067622F">
        <w:rPr>
          <w:rFonts w:ascii="Arial" w:hAnsi="Arial" w:cs="Arial"/>
          <w:sz w:val="20"/>
          <w:szCs w:val="20"/>
          <w:lang w:eastAsia="pt-BR"/>
        </w:rPr>
        <w:t>, contendo sangue de paciente com HBV varia de 6 a 30%, se nenhuma medida profilática for adotada. O uso de vacina contra HBV ou imunoglobulina específica reduz o risco de aquisição do vírus da hepatite B em 70 a 75%.</w:t>
      </w:r>
    </w:p>
    <w:p w14:paraId="03B35E71"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b/>
          <w:sz w:val="20"/>
          <w:szCs w:val="20"/>
          <w:lang w:eastAsia="pt-BR"/>
        </w:rPr>
        <w:t xml:space="preserve">A vacinação </w:t>
      </w:r>
      <w:proofErr w:type="spellStart"/>
      <w:r w:rsidRPr="0067622F">
        <w:rPr>
          <w:rFonts w:ascii="Arial" w:hAnsi="Arial" w:cs="Arial"/>
          <w:b/>
          <w:sz w:val="20"/>
          <w:szCs w:val="20"/>
          <w:lang w:eastAsia="pt-BR"/>
        </w:rPr>
        <w:t>pré</w:t>
      </w:r>
      <w:proofErr w:type="spellEnd"/>
      <w:r w:rsidRPr="0067622F">
        <w:rPr>
          <w:rFonts w:ascii="Arial" w:hAnsi="Arial" w:cs="Arial"/>
          <w:b/>
          <w:sz w:val="20"/>
          <w:szCs w:val="20"/>
          <w:lang w:eastAsia="pt-BR"/>
        </w:rPr>
        <w:t>-exposição contra a hepatite B é a principal medida de prevenção de hepatite B</w:t>
      </w:r>
      <w:r w:rsidRPr="0067622F">
        <w:rPr>
          <w:rFonts w:ascii="Arial" w:hAnsi="Arial" w:cs="Arial"/>
          <w:sz w:val="20"/>
          <w:szCs w:val="20"/>
          <w:lang w:eastAsia="pt-BR"/>
        </w:rPr>
        <w:t xml:space="preserve"> ocupacional entre profissionais de saúde. Para todos estes profissionais, a vacina está disponível nas unidades básicas de saúde.</w:t>
      </w:r>
    </w:p>
    <w:p w14:paraId="133ACD40"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b/>
          <w:sz w:val="20"/>
          <w:szCs w:val="20"/>
          <w:lang w:eastAsia="pt-BR"/>
        </w:rPr>
        <w:lastRenderedPageBreak/>
        <w:t>Não existe nenhuma medida específica eficaz para redução do risco de transmissão do vírus da hepatite C após exposição ocupacional.</w:t>
      </w:r>
      <w:r w:rsidRPr="0067622F">
        <w:rPr>
          <w:rFonts w:ascii="Arial" w:hAnsi="Arial" w:cs="Arial"/>
          <w:sz w:val="20"/>
          <w:szCs w:val="20"/>
          <w:lang w:eastAsia="pt-BR"/>
        </w:rPr>
        <w:t xml:space="preserve"> Os estudos não comprovaram benefício profilático com o uso de imunoglobulinas, não há vacina para prevenção da hepatite C e a possibilidade de complicações na evolução da doença é 4 a 10 vezes maior que para o HBV. Entre 75% </w:t>
      </w:r>
      <w:proofErr w:type="gramStart"/>
      <w:r w:rsidRPr="0067622F">
        <w:rPr>
          <w:rFonts w:ascii="Arial" w:hAnsi="Arial" w:cs="Arial"/>
          <w:sz w:val="20"/>
          <w:szCs w:val="20"/>
          <w:lang w:eastAsia="pt-BR"/>
        </w:rPr>
        <w:t>a</w:t>
      </w:r>
      <w:proofErr w:type="gramEnd"/>
      <w:r w:rsidRPr="0067622F">
        <w:rPr>
          <w:rFonts w:ascii="Arial" w:hAnsi="Arial" w:cs="Arial"/>
          <w:sz w:val="20"/>
          <w:szCs w:val="20"/>
          <w:lang w:eastAsia="pt-BR"/>
        </w:rPr>
        <w:t xml:space="preserve"> 85% dos infectados pelo HCV podem evoluir para doença crônica.</w:t>
      </w:r>
    </w:p>
    <w:p w14:paraId="51E0CC91"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A única medida eficaz para eliminação do risco de infecção pelo vírus da hepatite C é por meio da prevenção da ocorrência do acidente.</w:t>
      </w:r>
    </w:p>
    <w:p w14:paraId="3814B8FC"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Se o paciente-fonte é desconhecido, a necessidade de acompanhamento clínico - laboratorial e o uso de PEP devem ser decididos caso a caso considerando-se o tipo de exposição e a probabilidade clínica e epidemiológica de infecção pelo HBV.</w:t>
      </w:r>
    </w:p>
    <w:p w14:paraId="0E095B04"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Quando o paciente-fonte tem história de hepatite C, o acompanhamento do profissional de saúde acidentado está indicado.</w:t>
      </w:r>
    </w:p>
    <w:p w14:paraId="17F5562A"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Deve-se realizar a pesquisa de </w:t>
      </w:r>
      <w:proofErr w:type="spellStart"/>
      <w:r w:rsidRPr="0067622F">
        <w:rPr>
          <w:rFonts w:ascii="Arial" w:hAnsi="Arial" w:cs="Arial"/>
          <w:sz w:val="20"/>
          <w:szCs w:val="20"/>
          <w:lang w:eastAsia="pt-BR"/>
        </w:rPr>
        <w:t>anti-HCV</w:t>
      </w:r>
      <w:proofErr w:type="spellEnd"/>
      <w:r w:rsidRPr="0067622F">
        <w:rPr>
          <w:rFonts w:ascii="Arial" w:hAnsi="Arial" w:cs="Arial"/>
          <w:sz w:val="20"/>
          <w:szCs w:val="20"/>
          <w:lang w:eastAsia="pt-BR"/>
        </w:rPr>
        <w:t xml:space="preserve"> nos paciente-fonte conhecido com sorologia desconhecida. Exames de biologia molecular para detecção viral não são indicados.</w:t>
      </w:r>
    </w:p>
    <w:p w14:paraId="39F73517" w14:textId="77777777" w:rsidR="00A66364" w:rsidRPr="0067622F" w:rsidRDefault="00A66364" w:rsidP="00141BD2">
      <w:pPr>
        <w:autoSpaceDE w:val="0"/>
        <w:autoSpaceDN w:val="0"/>
        <w:adjustRightInd w:val="0"/>
        <w:spacing w:after="120" w:line="360" w:lineRule="auto"/>
        <w:ind w:firstLine="708"/>
        <w:jc w:val="both"/>
        <w:rPr>
          <w:rFonts w:ascii="Arial" w:hAnsi="Arial" w:cs="Arial"/>
          <w:sz w:val="20"/>
          <w:szCs w:val="20"/>
          <w:lang w:eastAsia="pt-BR"/>
        </w:rPr>
      </w:pPr>
    </w:p>
    <w:p w14:paraId="5BBC9729" w14:textId="77777777" w:rsidR="00141BD2" w:rsidRPr="0067622F" w:rsidRDefault="00141BD2" w:rsidP="00141BD2">
      <w:pPr>
        <w:pStyle w:val="Default"/>
        <w:spacing w:after="120" w:line="360" w:lineRule="auto"/>
        <w:jc w:val="both"/>
        <w:rPr>
          <w:rFonts w:ascii="Arial" w:hAnsi="Arial" w:cs="Arial"/>
          <w:b/>
          <w:sz w:val="20"/>
          <w:szCs w:val="20"/>
        </w:rPr>
      </w:pPr>
      <w:r w:rsidRPr="0067622F">
        <w:rPr>
          <w:rFonts w:ascii="Arial" w:hAnsi="Arial" w:cs="Arial"/>
          <w:b/>
          <w:sz w:val="20"/>
          <w:szCs w:val="20"/>
        </w:rPr>
        <w:t>V.4.5.2.2 - Exames sorológicos e acompanhamento do profissional acidentado</w:t>
      </w:r>
    </w:p>
    <w:p w14:paraId="6CFFD7A2"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Exames laboratoriais específicos às profilaxias iniciadas (por ex. hemograma, testes de função hepática e glicemia) e exames sorológicos que devem ser sempre colhidos no momento do acidente com a finalidade de descartar que o profissional acidentado não apresentasse infecção por quaisquer desses vírus (HIV, HBV, HCV), e durante todo o acompanhamento após exposições envolvendo pacientes-fonte infectados pelo HIV, pelo vírus das hepatites B e C ou acidentes que envolvem fontes desconhecidas.</w:t>
      </w:r>
    </w:p>
    <w:p w14:paraId="2E005697"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Exposições que envolvem pacientes-fonte com sorologias negativas não necessitam da testagem sorológica inicial e do acompanhamento clínico-laboratorial.</w:t>
      </w:r>
    </w:p>
    <w:p w14:paraId="5E06B8B1"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O teste de gravidez para os profissionais acidentados em idade fértil que desconhecem ou relatam a possibilidade de gravidez deverá ser pedido devido </w:t>
      </w:r>
      <w:proofErr w:type="spellStart"/>
      <w:r w:rsidRPr="0067622F">
        <w:rPr>
          <w:rFonts w:ascii="Arial" w:hAnsi="Arial" w:cs="Arial"/>
          <w:sz w:val="20"/>
          <w:szCs w:val="20"/>
          <w:lang w:eastAsia="pt-BR"/>
        </w:rPr>
        <w:t>o</w:t>
      </w:r>
      <w:proofErr w:type="spellEnd"/>
      <w:r w:rsidRPr="0067622F">
        <w:rPr>
          <w:rFonts w:ascii="Arial" w:hAnsi="Arial" w:cs="Arial"/>
          <w:sz w:val="20"/>
          <w:szCs w:val="20"/>
          <w:lang w:eastAsia="pt-BR"/>
        </w:rPr>
        <w:t xml:space="preserve"> risco teratogênico de algumas drogas.</w:t>
      </w:r>
    </w:p>
    <w:p w14:paraId="42E85656" w14:textId="77777777" w:rsidR="00141BD2" w:rsidRPr="0067622F"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O acompanhamento clínico-laboratorial deverá ser realizado para todos os profissionais de saúde acidentados que tenham sido expostos a paciente-fonte com infecção pelo HIV e/ ou hepatites B e C, independente do uso de </w:t>
      </w:r>
      <w:proofErr w:type="spellStart"/>
      <w:r w:rsidRPr="0067622F">
        <w:rPr>
          <w:rFonts w:ascii="Arial" w:hAnsi="Arial" w:cs="Arial"/>
          <w:sz w:val="20"/>
          <w:szCs w:val="20"/>
          <w:lang w:eastAsia="pt-BR"/>
        </w:rPr>
        <w:t>quimio-profilaxia</w:t>
      </w:r>
      <w:proofErr w:type="spellEnd"/>
      <w:r w:rsidRPr="0067622F">
        <w:rPr>
          <w:rFonts w:ascii="Arial" w:hAnsi="Arial" w:cs="Arial"/>
          <w:sz w:val="20"/>
          <w:szCs w:val="20"/>
          <w:lang w:eastAsia="pt-BR"/>
        </w:rPr>
        <w:t xml:space="preserve"> ou imunizações.</w:t>
      </w:r>
    </w:p>
    <w:p w14:paraId="6644FAA1" w14:textId="77777777" w:rsidR="00141BD2" w:rsidRDefault="00141BD2" w:rsidP="00141BD2">
      <w:pPr>
        <w:autoSpaceDE w:val="0"/>
        <w:autoSpaceDN w:val="0"/>
        <w:adjustRightInd w:val="0"/>
        <w:spacing w:after="120" w:line="360" w:lineRule="auto"/>
        <w:ind w:firstLine="360"/>
        <w:jc w:val="both"/>
        <w:rPr>
          <w:rFonts w:ascii="Arial" w:hAnsi="Arial" w:cs="Arial"/>
          <w:sz w:val="20"/>
          <w:szCs w:val="20"/>
          <w:lang w:eastAsia="pt-BR"/>
        </w:rPr>
      </w:pPr>
      <w:r w:rsidRPr="0067622F">
        <w:rPr>
          <w:rFonts w:ascii="Arial" w:hAnsi="Arial" w:cs="Arial"/>
          <w:sz w:val="20"/>
          <w:szCs w:val="20"/>
          <w:lang w:eastAsia="pt-BR"/>
        </w:rPr>
        <w:t>O acompanhamento laboratorial do profissional acidentado deverá avaliar possíveis toxicidades medicamentosas e condições sorológicas.</w:t>
      </w:r>
    </w:p>
    <w:p w14:paraId="5B634CA0" w14:textId="0CED1233" w:rsidR="00D41300" w:rsidRDefault="009E466A" w:rsidP="00141BD2">
      <w:pPr>
        <w:autoSpaceDE w:val="0"/>
        <w:autoSpaceDN w:val="0"/>
        <w:adjustRightInd w:val="0"/>
        <w:spacing w:after="120" w:line="360" w:lineRule="auto"/>
        <w:ind w:firstLine="360"/>
        <w:jc w:val="both"/>
        <w:rPr>
          <w:rFonts w:ascii="Arial" w:hAnsi="Arial" w:cs="Arial"/>
          <w:sz w:val="20"/>
          <w:szCs w:val="20"/>
          <w:lang w:eastAsia="pt-BR"/>
        </w:rPr>
      </w:pPr>
      <w:r>
        <w:rPr>
          <w:rFonts w:ascii="Arial" w:hAnsi="Arial" w:cs="Arial"/>
          <w:sz w:val="20"/>
          <w:szCs w:val="20"/>
          <w:lang w:eastAsia="pt-BR"/>
        </w:rPr>
        <w:t xml:space="preserve">A periodicidade dos exames e acompanhamento </w:t>
      </w:r>
      <w:r w:rsidR="00C0194D">
        <w:rPr>
          <w:rFonts w:ascii="Arial" w:hAnsi="Arial" w:cs="Arial"/>
          <w:sz w:val="20"/>
          <w:szCs w:val="20"/>
          <w:lang w:eastAsia="pt-BR"/>
        </w:rPr>
        <w:t>do profissional acidentado seguirá as orientações do CTA de Uberaba</w:t>
      </w:r>
      <w:r w:rsidR="00DB546B">
        <w:rPr>
          <w:rFonts w:ascii="Arial" w:hAnsi="Arial" w:cs="Arial"/>
          <w:sz w:val="20"/>
          <w:szCs w:val="20"/>
          <w:lang w:eastAsia="pt-BR"/>
        </w:rPr>
        <w:t xml:space="preserve">. </w:t>
      </w:r>
    </w:p>
    <w:p w14:paraId="3330A5D1" w14:textId="77777777" w:rsidR="00D41300" w:rsidRPr="0067622F" w:rsidRDefault="00D41300" w:rsidP="00141BD2">
      <w:pPr>
        <w:autoSpaceDE w:val="0"/>
        <w:autoSpaceDN w:val="0"/>
        <w:adjustRightInd w:val="0"/>
        <w:spacing w:after="120" w:line="360" w:lineRule="auto"/>
        <w:ind w:firstLine="360"/>
        <w:jc w:val="both"/>
        <w:rPr>
          <w:rFonts w:ascii="Arial" w:hAnsi="Arial" w:cs="Arial"/>
          <w:sz w:val="20"/>
          <w:szCs w:val="20"/>
          <w:lang w:eastAsia="pt-BR"/>
        </w:rPr>
      </w:pPr>
    </w:p>
    <w:p w14:paraId="7F4FE713" w14:textId="77777777" w:rsidR="00141BD2" w:rsidRPr="0067622F" w:rsidRDefault="00141BD2" w:rsidP="00141BD2">
      <w:pPr>
        <w:autoSpaceDE w:val="0"/>
        <w:autoSpaceDN w:val="0"/>
        <w:adjustRightInd w:val="0"/>
        <w:spacing w:after="0" w:line="240" w:lineRule="auto"/>
        <w:rPr>
          <w:rFonts w:ascii="Arial" w:hAnsi="Arial" w:cs="Arial"/>
          <w:sz w:val="20"/>
          <w:szCs w:val="20"/>
          <w:lang w:eastAsia="pt-BR"/>
        </w:rPr>
      </w:pPr>
    </w:p>
    <w:p w14:paraId="3760B605" w14:textId="77777777" w:rsidR="00141BD2" w:rsidRPr="0067622F" w:rsidRDefault="00141BD2" w:rsidP="00141BD2">
      <w:pPr>
        <w:autoSpaceDE w:val="0"/>
        <w:autoSpaceDN w:val="0"/>
        <w:adjustRightInd w:val="0"/>
        <w:spacing w:after="0" w:line="240" w:lineRule="auto"/>
        <w:rPr>
          <w:rFonts w:ascii="Arial" w:hAnsi="Arial" w:cs="Arial"/>
          <w:b/>
          <w:sz w:val="20"/>
          <w:szCs w:val="20"/>
          <w:lang w:eastAsia="pt-BR"/>
        </w:rPr>
      </w:pPr>
      <w:r w:rsidRPr="0067622F">
        <w:rPr>
          <w:rFonts w:ascii="Arial" w:hAnsi="Arial" w:cs="Arial"/>
          <w:b/>
          <w:sz w:val="20"/>
          <w:szCs w:val="20"/>
          <w:lang w:eastAsia="pt-BR"/>
        </w:rPr>
        <w:lastRenderedPageBreak/>
        <w:t>V.4.5.3 - Encaminhamento ao Serviço de Assistência Especializada (SAE)</w:t>
      </w:r>
    </w:p>
    <w:p w14:paraId="1433A9DF" w14:textId="77777777" w:rsidR="00141BD2" w:rsidRPr="0067622F" w:rsidRDefault="00141BD2" w:rsidP="00141BD2">
      <w:pPr>
        <w:autoSpaceDE w:val="0"/>
        <w:autoSpaceDN w:val="0"/>
        <w:adjustRightInd w:val="0"/>
        <w:spacing w:after="0" w:line="240" w:lineRule="auto"/>
        <w:jc w:val="both"/>
        <w:rPr>
          <w:rFonts w:ascii="Arial" w:hAnsi="Arial" w:cs="Arial"/>
          <w:b/>
          <w:sz w:val="20"/>
          <w:szCs w:val="20"/>
          <w:lang w:eastAsia="pt-BR"/>
        </w:rPr>
      </w:pPr>
    </w:p>
    <w:p w14:paraId="1D089180" w14:textId="627617D9"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b/>
          <w:sz w:val="20"/>
          <w:szCs w:val="20"/>
          <w:lang w:eastAsia="pt-BR"/>
        </w:rPr>
        <w:tab/>
      </w:r>
      <w:r w:rsidRPr="0067622F">
        <w:rPr>
          <w:rFonts w:ascii="Arial" w:hAnsi="Arial" w:cs="Arial"/>
          <w:sz w:val="20"/>
          <w:szCs w:val="20"/>
          <w:lang w:eastAsia="pt-BR"/>
        </w:rPr>
        <w:t>Na ocorrência</w:t>
      </w:r>
      <w:r w:rsidRPr="0067622F">
        <w:rPr>
          <w:rFonts w:ascii="Arial" w:hAnsi="Arial" w:cs="Arial"/>
          <w:b/>
          <w:sz w:val="20"/>
          <w:szCs w:val="20"/>
          <w:lang w:eastAsia="pt-BR"/>
        </w:rPr>
        <w:t xml:space="preserve"> qualquer acidente com exposição ao material biológico, o </w:t>
      </w:r>
      <w:r w:rsidR="00591296">
        <w:rPr>
          <w:rFonts w:ascii="Arial" w:hAnsi="Arial" w:cs="Arial"/>
          <w:b/>
          <w:sz w:val="20"/>
          <w:szCs w:val="20"/>
          <w:lang w:eastAsia="pt-BR"/>
        </w:rPr>
        <w:t xml:space="preserve">profissional </w:t>
      </w:r>
      <w:r w:rsidR="008E767C">
        <w:rPr>
          <w:rFonts w:ascii="Arial" w:hAnsi="Arial" w:cs="Arial"/>
          <w:b/>
          <w:sz w:val="20"/>
          <w:szCs w:val="20"/>
          <w:lang w:eastAsia="pt-BR"/>
        </w:rPr>
        <w:t xml:space="preserve">acidentado </w:t>
      </w:r>
      <w:r w:rsidRPr="0067622F">
        <w:rPr>
          <w:rFonts w:ascii="Arial" w:hAnsi="Arial" w:cs="Arial"/>
          <w:b/>
          <w:sz w:val="20"/>
          <w:szCs w:val="20"/>
          <w:lang w:eastAsia="pt-BR"/>
        </w:rPr>
        <w:t xml:space="preserve">e o </w:t>
      </w:r>
      <w:r w:rsidR="000141FC" w:rsidRPr="0067622F">
        <w:rPr>
          <w:rFonts w:ascii="Arial" w:hAnsi="Arial" w:cs="Arial"/>
          <w:b/>
          <w:sz w:val="20"/>
          <w:szCs w:val="20"/>
          <w:lang w:eastAsia="pt-BR"/>
        </w:rPr>
        <w:t xml:space="preserve">paciente fonte devem </w:t>
      </w:r>
      <w:r w:rsidR="008E767C" w:rsidRPr="0067622F">
        <w:rPr>
          <w:rFonts w:ascii="Arial" w:hAnsi="Arial" w:cs="Arial"/>
          <w:b/>
          <w:sz w:val="20"/>
          <w:szCs w:val="20"/>
          <w:lang w:eastAsia="pt-BR"/>
        </w:rPr>
        <w:t>ser</w:t>
      </w:r>
      <w:r w:rsidR="000141FC" w:rsidRPr="0067622F">
        <w:rPr>
          <w:rFonts w:ascii="Arial" w:hAnsi="Arial" w:cs="Arial"/>
          <w:b/>
          <w:sz w:val="20"/>
          <w:szCs w:val="20"/>
          <w:lang w:eastAsia="pt-BR"/>
        </w:rPr>
        <w:t xml:space="preserve"> encaminhados</w:t>
      </w:r>
      <w:r w:rsidRPr="0067622F">
        <w:rPr>
          <w:rFonts w:ascii="Arial" w:hAnsi="Arial" w:cs="Arial"/>
          <w:b/>
          <w:sz w:val="20"/>
          <w:szCs w:val="20"/>
          <w:lang w:eastAsia="pt-BR"/>
        </w:rPr>
        <w:t xml:space="preserve"> para o SAE do município de Uberaba-MG</w:t>
      </w:r>
      <w:r w:rsidRPr="0067622F">
        <w:rPr>
          <w:rFonts w:ascii="Arial" w:hAnsi="Arial" w:cs="Arial"/>
          <w:sz w:val="20"/>
          <w:szCs w:val="20"/>
          <w:lang w:eastAsia="pt-BR"/>
        </w:rPr>
        <w:t xml:space="preserve">, </w:t>
      </w:r>
      <w:r w:rsidR="00483D81">
        <w:rPr>
          <w:rFonts w:ascii="Arial" w:hAnsi="Arial" w:cs="Arial"/>
          <w:sz w:val="20"/>
          <w:szCs w:val="20"/>
          <w:lang w:eastAsia="pt-BR"/>
        </w:rPr>
        <w:t>a</w:t>
      </w:r>
      <w:r w:rsidR="0075319D">
        <w:rPr>
          <w:rFonts w:ascii="Arial" w:hAnsi="Arial" w:cs="Arial"/>
          <w:sz w:val="20"/>
          <w:szCs w:val="20"/>
          <w:lang w:eastAsia="pt-BR"/>
        </w:rPr>
        <w:t xml:space="preserve"> remoção para o atendimento </w:t>
      </w:r>
      <w:r w:rsidR="00483D81">
        <w:rPr>
          <w:rFonts w:ascii="Arial" w:hAnsi="Arial" w:cs="Arial"/>
          <w:sz w:val="20"/>
          <w:szCs w:val="20"/>
          <w:lang w:eastAsia="pt-BR"/>
        </w:rPr>
        <w:t xml:space="preserve">é </w:t>
      </w:r>
      <w:r w:rsidR="0075319D">
        <w:rPr>
          <w:rFonts w:ascii="Arial" w:hAnsi="Arial" w:cs="Arial"/>
          <w:sz w:val="20"/>
          <w:szCs w:val="20"/>
          <w:lang w:eastAsia="pt-BR"/>
        </w:rPr>
        <w:t xml:space="preserve">de responsabilidade da empresa </w:t>
      </w:r>
      <w:r w:rsidR="007D5CEE">
        <w:rPr>
          <w:rFonts w:ascii="Arial" w:hAnsi="Arial" w:cs="Arial"/>
          <w:sz w:val="20"/>
          <w:szCs w:val="20"/>
          <w:lang w:eastAsia="pt-BR"/>
        </w:rPr>
        <w:t xml:space="preserve">de acordo com </w:t>
      </w:r>
      <w:r w:rsidR="00483D81">
        <w:rPr>
          <w:rFonts w:ascii="Arial" w:hAnsi="Arial" w:cs="Arial"/>
          <w:sz w:val="20"/>
          <w:szCs w:val="20"/>
          <w:lang w:eastAsia="pt-BR"/>
        </w:rPr>
        <w:t>ocorrência</w:t>
      </w:r>
      <w:r w:rsidR="0075319D">
        <w:rPr>
          <w:rFonts w:ascii="Arial" w:hAnsi="Arial" w:cs="Arial"/>
          <w:sz w:val="20"/>
          <w:szCs w:val="20"/>
          <w:lang w:eastAsia="pt-BR"/>
        </w:rPr>
        <w:t xml:space="preserve">, </w:t>
      </w:r>
      <w:r w:rsidRPr="0067622F">
        <w:rPr>
          <w:rFonts w:ascii="Arial" w:hAnsi="Arial" w:cs="Arial"/>
          <w:sz w:val="20"/>
          <w:szCs w:val="20"/>
          <w:lang w:eastAsia="pt-BR"/>
        </w:rPr>
        <w:t xml:space="preserve">para que possam ser adotadas as condutas acima abordadas referentes aos exames sorológicos, indicação ou não de </w:t>
      </w:r>
      <w:proofErr w:type="spellStart"/>
      <w:r w:rsidRPr="0067622F">
        <w:rPr>
          <w:rFonts w:ascii="Arial" w:hAnsi="Arial" w:cs="Arial"/>
          <w:sz w:val="20"/>
          <w:szCs w:val="20"/>
          <w:lang w:eastAsia="pt-BR"/>
        </w:rPr>
        <w:t>quimio-profilaxia</w:t>
      </w:r>
      <w:proofErr w:type="spellEnd"/>
      <w:r w:rsidRPr="0067622F">
        <w:rPr>
          <w:rFonts w:ascii="Arial" w:hAnsi="Arial" w:cs="Arial"/>
          <w:sz w:val="20"/>
          <w:szCs w:val="20"/>
          <w:lang w:eastAsia="pt-BR"/>
        </w:rPr>
        <w:t xml:space="preserve"> e acompanhamento ambulatorial do profissional acidentado</w:t>
      </w:r>
      <w:r w:rsidR="00483D81">
        <w:rPr>
          <w:rFonts w:ascii="Arial" w:hAnsi="Arial" w:cs="Arial"/>
          <w:sz w:val="20"/>
          <w:szCs w:val="20"/>
          <w:lang w:eastAsia="pt-BR"/>
        </w:rPr>
        <w:t xml:space="preserve">. </w:t>
      </w:r>
      <w:r w:rsidRPr="0067622F">
        <w:rPr>
          <w:rFonts w:ascii="Arial" w:hAnsi="Arial" w:cs="Arial"/>
          <w:sz w:val="20"/>
          <w:szCs w:val="20"/>
          <w:lang w:eastAsia="pt-BR"/>
        </w:rPr>
        <w:t xml:space="preserve">O serviço de Saúde Ocupacional </w:t>
      </w:r>
      <w:r w:rsidR="007F4871">
        <w:rPr>
          <w:rFonts w:ascii="Arial" w:hAnsi="Arial" w:cs="Arial"/>
          <w:sz w:val="20"/>
          <w:szCs w:val="20"/>
          <w:lang w:eastAsia="pt-BR"/>
        </w:rPr>
        <w:t xml:space="preserve">representado pelo Médico do Trabalho e ou Supervisor de saúde </w:t>
      </w:r>
      <w:r w:rsidRPr="0067622F">
        <w:rPr>
          <w:rFonts w:ascii="Arial" w:hAnsi="Arial" w:cs="Arial"/>
          <w:sz w:val="20"/>
          <w:szCs w:val="20"/>
          <w:lang w:eastAsia="pt-BR"/>
        </w:rPr>
        <w:t>da empresa deverá manter contato e acompanhar as condutas adotadas pelo SAE.</w:t>
      </w:r>
    </w:p>
    <w:p w14:paraId="6CC2ABE5" w14:textId="77777777"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ab/>
        <w:t>SAE de Uberaba-MG:</w:t>
      </w:r>
    </w:p>
    <w:p w14:paraId="03496C94" w14:textId="77777777" w:rsidR="00141BD2" w:rsidRPr="0067622F" w:rsidRDefault="00141BD2" w:rsidP="00141BD2">
      <w:pPr>
        <w:autoSpaceDE w:val="0"/>
        <w:autoSpaceDN w:val="0"/>
        <w:adjustRightInd w:val="0"/>
        <w:spacing w:after="120" w:line="360" w:lineRule="auto"/>
        <w:jc w:val="both"/>
        <w:rPr>
          <w:rFonts w:ascii="Arial" w:hAnsi="Arial" w:cs="Arial"/>
          <w:b/>
          <w:lang w:eastAsia="pt-BR"/>
        </w:rPr>
      </w:pPr>
      <w:r w:rsidRPr="0067622F">
        <w:rPr>
          <w:rFonts w:ascii="Arial" w:hAnsi="Arial" w:cs="Arial"/>
          <w:b/>
          <w:lang w:eastAsia="pt-BR"/>
        </w:rPr>
        <w:t>Centro de Testagem e Aconselhamento (CTA)</w:t>
      </w:r>
    </w:p>
    <w:p w14:paraId="32D70AF6" w14:textId="13C91263"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 xml:space="preserve">Endereço: </w:t>
      </w:r>
      <w:r w:rsidR="009C7A1F">
        <w:rPr>
          <w:rFonts w:ascii="Arial" w:hAnsi="Arial" w:cs="Arial"/>
          <w:sz w:val="20"/>
          <w:szCs w:val="20"/>
          <w:lang w:eastAsia="pt-BR"/>
        </w:rPr>
        <w:t>Avenida Orlando Rodrigues da Cunha</w:t>
      </w:r>
      <w:r w:rsidR="00E36483">
        <w:rPr>
          <w:rFonts w:ascii="Arial" w:hAnsi="Arial" w:cs="Arial"/>
          <w:sz w:val="20"/>
          <w:szCs w:val="20"/>
          <w:lang w:eastAsia="pt-BR"/>
        </w:rPr>
        <w:t>, 2223</w:t>
      </w:r>
    </w:p>
    <w:p w14:paraId="7ECC44C0" w14:textId="77777777"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Telefone: 3333-7787</w:t>
      </w:r>
    </w:p>
    <w:p w14:paraId="7D76723B" w14:textId="77777777"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r w:rsidRPr="0067622F">
        <w:rPr>
          <w:rFonts w:ascii="Arial" w:hAnsi="Arial" w:cs="Arial"/>
          <w:sz w:val="20"/>
          <w:szCs w:val="20"/>
          <w:lang w:eastAsia="pt-BR"/>
        </w:rPr>
        <w:t>Atendimento: Segunda a sexta-feira (07:00 às 17:00)</w:t>
      </w:r>
    </w:p>
    <w:p w14:paraId="440944A2" w14:textId="77777777" w:rsidR="00141BD2" w:rsidRPr="0067622F" w:rsidRDefault="00141BD2" w:rsidP="00141BD2">
      <w:pPr>
        <w:autoSpaceDE w:val="0"/>
        <w:autoSpaceDN w:val="0"/>
        <w:adjustRightInd w:val="0"/>
        <w:spacing w:after="120" w:line="360" w:lineRule="auto"/>
        <w:jc w:val="both"/>
        <w:rPr>
          <w:rFonts w:ascii="Arial" w:hAnsi="Arial" w:cs="Arial"/>
          <w:sz w:val="20"/>
          <w:szCs w:val="20"/>
          <w:lang w:eastAsia="pt-BR"/>
        </w:rPr>
      </w:pPr>
    </w:p>
    <w:p w14:paraId="329AD6CA" w14:textId="77777777" w:rsidR="00141BD2"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 xml:space="preserve">A </w:t>
      </w:r>
      <w:r w:rsidRPr="0067622F">
        <w:rPr>
          <w:rFonts w:ascii="Arial" w:hAnsi="Arial" w:cs="Arial"/>
          <w:b/>
          <w:sz w:val="20"/>
          <w:szCs w:val="20"/>
          <w:lang w:eastAsia="pt-BR"/>
        </w:rPr>
        <w:t xml:space="preserve">Unidade de Pronto Atendimento (UPA) – São Benedito </w:t>
      </w:r>
      <w:r w:rsidRPr="0067622F">
        <w:rPr>
          <w:rFonts w:ascii="Arial" w:hAnsi="Arial" w:cs="Arial"/>
          <w:sz w:val="20"/>
          <w:szCs w:val="20"/>
          <w:lang w:eastAsia="pt-BR"/>
        </w:rPr>
        <w:t>é o serviço preparado e indicado para</w:t>
      </w:r>
      <w:r w:rsidRPr="0067622F">
        <w:rPr>
          <w:rFonts w:ascii="Arial" w:hAnsi="Arial" w:cs="Arial"/>
          <w:b/>
          <w:sz w:val="20"/>
          <w:szCs w:val="20"/>
          <w:lang w:eastAsia="pt-BR"/>
        </w:rPr>
        <w:t xml:space="preserve"> </w:t>
      </w:r>
      <w:r w:rsidRPr="0067622F">
        <w:rPr>
          <w:rFonts w:ascii="Arial" w:hAnsi="Arial" w:cs="Arial"/>
          <w:sz w:val="20"/>
          <w:szCs w:val="20"/>
          <w:lang w:eastAsia="pt-BR"/>
        </w:rPr>
        <w:t>o atendimento inicial ao profissional acidentado nos horários em que o CTA não estiver em atendimento.</w:t>
      </w:r>
    </w:p>
    <w:p w14:paraId="42C64F62" w14:textId="21E9DCEF" w:rsidR="00D24C88" w:rsidRPr="003E7138" w:rsidRDefault="00D24C88" w:rsidP="00141BD2">
      <w:pPr>
        <w:autoSpaceDE w:val="0"/>
        <w:autoSpaceDN w:val="0"/>
        <w:adjustRightInd w:val="0"/>
        <w:spacing w:after="120" w:line="360" w:lineRule="auto"/>
        <w:ind w:firstLine="708"/>
        <w:jc w:val="both"/>
        <w:rPr>
          <w:rFonts w:ascii="Arial" w:hAnsi="Arial" w:cs="Arial"/>
          <w:sz w:val="20"/>
          <w:szCs w:val="20"/>
          <w:lang w:eastAsia="pt-BR"/>
        </w:rPr>
      </w:pPr>
      <w:r w:rsidRPr="003E7138">
        <w:rPr>
          <w:rFonts w:ascii="Arial" w:hAnsi="Arial" w:cs="Arial"/>
          <w:sz w:val="20"/>
          <w:szCs w:val="20"/>
          <w:lang w:eastAsia="pt-BR"/>
        </w:rPr>
        <w:t>O transporte e acompanhamento do profissional acidentado é de responsabilidade da em</w:t>
      </w:r>
      <w:r w:rsidR="0003726A" w:rsidRPr="003E7138">
        <w:rPr>
          <w:rFonts w:ascii="Arial" w:hAnsi="Arial" w:cs="Arial"/>
          <w:sz w:val="20"/>
          <w:szCs w:val="20"/>
          <w:lang w:eastAsia="pt-BR"/>
        </w:rPr>
        <w:t>presa</w:t>
      </w:r>
      <w:r w:rsidR="009E03BD" w:rsidRPr="003E7138">
        <w:rPr>
          <w:rFonts w:ascii="Arial" w:hAnsi="Arial" w:cs="Arial"/>
          <w:sz w:val="20"/>
          <w:szCs w:val="20"/>
          <w:lang w:eastAsia="pt-BR"/>
        </w:rPr>
        <w:t xml:space="preserve">, a meio de transporte utilizado será definido pelo médico do trabalho </w:t>
      </w:r>
      <w:r w:rsidR="007F05D6" w:rsidRPr="003E7138">
        <w:rPr>
          <w:rFonts w:ascii="Arial" w:hAnsi="Arial" w:cs="Arial"/>
          <w:sz w:val="20"/>
          <w:szCs w:val="20"/>
          <w:lang w:eastAsia="pt-BR"/>
        </w:rPr>
        <w:t>após avaliação clínica do profissional acidentado</w:t>
      </w:r>
      <w:r w:rsidR="005A6BEC" w:rsidRPr="003E7138">
        <w:rPr>
          <w:rFonts w:ascii="Arial" w:hAnsi="Arial" w:cs="Arial"/>
          <w:sz w:val="20"/>
          <w:szCs w:val="20"/>
          <w:lang w:eastAsia="pt-BR"/>
        </w:rPr>
        <w:t>. Os recursos de emergência disponíveis estão listados conforme PGS</w:t>
      </w:r>
      <w:r w:rsidR="00002D97" w:rsidRPr="003E7138">
        <w:rPr>
          <w:rFonts w:ascii="Arial" w:hAnsi="Arial" w:cs="Arial"/>
          <w:sz w:val="20"/>
          <w:szCs w:val="20"/>
          <w:lang w:eastAsia="pt-BR"/>
        </w:rPr>
        <w:t>-MFS</w:t>
      </w:r>
      <w:r w:rsidR="009B1893" w:rsidRPr="003E7138">
        <w:rPr>
          <w:rFonts w:ascii="Arial" w:hAnsi="Arial" w:cs="Arial"/>
          <w:sz w:val="20"/>
          <w:szCs w:val="20"/>
          <w:lang w:eastAsia="pt-BR"/>
        </w:rPr>
        <w:t xml:space="preserve">-EHS-212 Padronização do Atendimento de Emergência. </w:t>
      </w:r>
      <w:r w:rsidR="007F05D6" w:rsidRPr="003E7138">
        <w:rPr>
          <w:rFonts w:ascii="Arial" w:hAnsi="Arial" w:cs="Arial"/>
          <w:sz w:val="20"/>
          <w:szCs w:val="20"/>
          <w:lang w:eastAsia="pt-BR"/>
        </w:rPr>
        <w:t xml:space="preserve"> </w:t>
      </w:r>
    </w:p>
    <w:p w14:paraId="792ED859" w14:textId="77777777" w:rsidR="00141BD2" w:rsidRPr="0067622F" w:rsidRDefault="00141BD2" w:rsidP="00141BD2">
      <w:pPr>
        <w:autoSpaceDE w:val="0"/>
        <w:autoSpaceDN w:val="0"/>
        <w:adjustRightInd w:val="0"/>
        <w:spacing w:after="0" w:line="240" w:lineRule="auto"/>
        <w:jc w:val="both"/>
        <w:rPr>
          <w:rFonts w:ascii="Arial" w:hAnsi="Arial" w:cs="Arial"/>
          <w:lang w:eastAsia="pt-BR"/>
        </w:rPr>
      </w:pPr>
    </w:p>
    <w:p w14:paraId="304856BC" w14:textId="77777777" w:rsidR="00D74615" w:rsidRDefault="00D74615" w:rsidP="00141BD2">
      <w:pPr>
        <w:autoSpaceDE w:val="0"/>
        <w:autoSpaceDN w:val="0"/>
        <w:adjustRightInd w:val="0"/>
        <w:spacing w:after="0" w:line="240" w:lineRule="auto"/>
        <w:rPr>
          <w:rFonts w:ascii="Arial" w:hAnsi="Arial" w:cs="Arial"/>
          <w:b/>
          <w:lang w:eastAsia="pt-BR"/>
        </w:rPr>
      </w:pPr>
    </w:p>
    <w:p w14:paraId="3F9970CF" w14:textId="327792D2" w:rsidR="00141BD2" w:rsidRPr="0067622F" w:rsidRDefault="00141BD2" w:rsidP="00141BD2">
      <w:pPr>
        <w:autoSpaceDE w:val="0"/>
        <w:autoSpaceDN w:val="0"/>
        <w:adjustRightInd w:val="0"/>
        <w:spacing w:after="0" w:line="240" w:lineRule="auto"/>
        <w:rPr>
          <w:rFonts w:ascii="Arial" w:hAnsi="Arial" w:cs="Arial"/>
          <w:b/>
          <w:lang w:eastAsia="pt-BR"/>
        </w:rPr>
      </w:pPr>
      <w:r w:rsidRPr="0067622F">
        <w:rPr>
          <w:rFonts w:ascii="Arial" w:hAnsi="Arial" w:cs="Arial"/>
          <w:b/>
          <w:lang w:eastAsia="pt-BR"/>
        </w:rPr>
        <w:t>V.5 – Vacinação dos Profissionais de Saúde</w:t>
      </w:r>
    </w:p>
    <w:p w14:paraId="7C899867" w14:textId="77777777" w:rsidR="00141BD2" w:rsidRPr="0067622F" w:rsidRDefault="00141BD2" w:rsidP="00141BD2">
      <w:pPr>
        <w:autoSpaceDE w:val="0"/>
        <w:autoSpaceDN w:val="0"/>
        <w:adjustRightInd w:val="0"/>
        <w:spacing w:after="0" w:line="240" w:lineRule="auto"/>
        <w:rPr>
          <w:rFonts w:ascii="Arial" w:hAnsi="Arial" w:cs="Arial"/>
          <w:b/>
          <w:lang w:eastAsia="pt-BR"/>
        </w:rPr>
      </w:pPr>
    </w:p>
    <w:p w14:paraId="45A89424" w14:textId="77777777" w:rsidR="00141BD2" w:rsidRPr="00586592" w:rsidRDefault="00141BD2" w:rsidP="0058659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b/>
          <w:lang w:eastAsia="pt-BR"/>
        </w:rPr>
        <w:tab/>
      </w:r>
      <w:r w:rsidRPr="00586592">
        <w:rPr>
          <w:rFonts w:ascii="Arial" w:hAnsi="Arial" w:cs="Arial"/>
          <w:sz w:val="20"/>
          <w:szCs w:val="20"/>
          <w:lang w:eastAsia="pt-BR"/>
        </w:rPr>
        <w:t>Todos os profissionais do Serviço Médico devem estar com o calendário de vacinação do adulto completo e atualizado.</w:t>
      </w:r>
    </w:p>
    <w:p w14:paraId="4DCD7483" w14:textId="35224CE8" w:rsidR="00141BD2" w:rsidRPr="0067622F" w:rsidRDefault="007C14BA" w:rsidP="00586592">
      <w:pPr>
        <w:autoSpaceDE w:val="0"/>
        <w:autoSpaceDN w:val="0"/>
        <w:adjustRightInd w:val="0"/>
        <w:spacing w:after="120" w:line="360" w:lineRule="auto"/>
        <w:ind w:firstLine="708"/>
        <w:jc w:val="both"/>
        <w:rPr>
          <w:rFonts w:ascii="Arial" w:hAnsi="Arial" w:cs="Arial"/>
          <w:sz w:val="20"/>
          <w:szCs w:val="20"/>
          <w:lang w:eastAsia="pt-BR"/>
        </w:rPr>
      </w:pPr>
      <w:r w:rsidRPr="00586592">
        <w:rPr>
          <w:rFonts w:ascii="Arial" w:hAnsi="Arial" w:cs="Arial"/>
          <w:sz w:val="20"/>
          <w:szCs w:val="20"/>
          <w:lang w:eastAsia="pt-BR"/>
        </w:rPr>
        <w:t>A vacinação dos profissionais de saúde está</w:t>
      </w:r>
      <w:r w:rsidR="00CA1E3F" w:rsidRPr="00586592">
        <w:rPr>
          <w:rFonts w:ascii="Arial" w:hAnsi="Arial" w:cs="Arial"/>
          <w:sz w:val="20"/>
          <w:szCs w:val="20"/>
          <w:lang w:eastAsia="pt-BR"/>
        </w:rPr>
        <w:t xml:space="preserve"> descrita no </w:t>
      </w:r>
      <w:r w:rsidR="00586592">
        <w:rPr>
          <w:rFonts w:ascii="Arial" w:hAnsi="Arial" w:cs="Arial"/>
          <w:sz w:val="20"/>
          <w:szCs w:val="20"/>
          <w:lang w:eastAsia="pt-BR"/>
        </w:rPr>
        <w:t>A</w:t>
      </w:r>
      <w:r w:rsidR="00CA1E3F" w:rsidRPr="00586592">
        <w:rPr>
          <w:rFonts w:ascii="Arial" w:hAnsi="Arial" w:cs="Arial"/>
          <w:sz w:val="20"/>
          <w:szCs w:val="20"/>
          <w:lang w:eastAsia="pt-BR"/>
        </w:rPr>
        <w:t xml:space="preserve">nexo </w:t>
      </w:r>
      <w:r w:rsidRPr="00586592">
        <w:rPr>
          <w:rFonts w:ascii="Arial" w:hAnsi="Arial" w:cs="Arial"/>
          <w:sz w:val="20"/>
          <w:szCs w:val="20"/>
          <w:lang w:eastAsia="pt-BR"/>
        </w:rPr>
        <w:t xml:space="preserve">16 deste </w:t>
      </w:r>
      <w:r w:rsidR="00586592">
        <w:rPr>
          <w:rFonts w:ascii="Arial" w:hAnsi="Arial" w:cs="Arial"/>
          <w:sz w:val="20"/>
          <w:szCs w:val="20"/>
          <w:lang w:eastAsia="pt-BR"/>
        </w:rPr>
        <w:t>procedimento</w:t>
      </w:r>
      <w:r w:rsidRPr="00586592">
        <w:rPr>
          <w:rFonts w:ascii="Arial" w:hAnsi="Arial" w:cs="Arial"/>
          <w:sz w:val="20"/>
          <w:szCs w:val="20"/>
          <w:lang w:eastAsia="pt-BR"/>
        </w:rPr>
        <w:t xml:space="preserve">. </w:t>
      </w:r>
    </w:p>
    <w:p w14:paraId="56C5F664" w14:textId="34DE6297" w:rsidR="00234A05"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67622F">
        <w:rPr>
          <w:rFonts w:ascii="Arial" w:hAnsi="Arial" w:cs="Arial"/>
          <w:sz w:val="20"/>
          <w:szCs w:val="20"/>
          <w:lang w:eastAsia="pt-BR"/>
        </w:rPr>
        <w:t>Além das vacinas</w:t>
      </w:r>
      <w:r w:rsidR="00742E43">
        <w:rPr>
          <w:rFonts w:ascii="Arial" w:hAnsi="Arial" w:cs="Arial"/>
          <w:sz w:val="20"/>
          <w:szCs w:val="20"/>
          <w:lang w:eastAsia="pt-BR"/>
        </w:rPr>
        <w:t xml:space="preserve"> </w:t>
      </w:r>
      <w:r w:rsidRPr="0067622F">
        <w:rPr>
          <w:rFonts w:ascii="Arial" w:hAnsi="Arial" w:cs="Arial"/>
          <w:b/>
          <w:sz w:val="20"/>
          <w:szCs w:val="20"/>
          <w:lang w:eastAsia="pt-BR"/>
        </w:rPr>
        <w:t>os profissionais do serviço de saúde devem receber a vacina para Influenza</w:t>
      </w:r>
      <w:r w:rsidRPr="0067622F">
        <w:rPr>
          <w:rFonts w:ascii="Arial" w:hAnsi="Arial" w:cs="Arial"/>
          <w:sz w:val="20"/>
          <w:szCs w:val="20"/>
          <w:lang w:eastAsia="pt-BR"/>
        </w:rPr>
        <w:t xml:space="preserve"> disponibilizada em campanha anual da empresa para todos os empregados.</w:t>
      </w:r>
    </w:p>
    <w:p w14:paraId="190351EE" w14:textId="6AE10D3E" w:rsidR="00141BD2" w:rsidRPr="00586592"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586592">
        <w:rPr>
          <w:rFonts w:ascii="Arial" w:hAnsi="Arial" w:cs="Arial"/>
          <w:sz w:val="20"/>
          <w:szCs w:val="20"/>
          <w:lang w:eastAsia="pt-BR"/>
        </w:rPr>
        <w:t xml:space="preserve">A vacinação deve obedecer às recomendações do Ministério da Saúde, e apenas vacinas com registro junto à Anvisa podem ser aplicadas. </w:t>
      </w:r>
    </w:p>
    <w:p w14:paraId="2F6ACD56" w14:textId="77777777" w:rsidR="00141BD2" w:rsidRPr="00586592" w:rsidRDefault="00141BD2" w:rsidP="00141BD2">
      <w:pPr>
        <w:autoSpaceDE w:val="0"/>
        <w:autoSpaceDN w:val="0"/>
        <w:adjustRightInd w:val="0"/>
        <w:spacing w:after="120" w:line="360" w:lineRule="auto"/>
        <w:ind w:firstLine="708"/>
        <w:jc w:val="both"/>
        <w:rPr>
          <w:rFonts w:ascii="Arial" w:hAnsi="Arial" w:cs="Arial"/>
          <w:sz w:val="20"/>
          <w:szCs w:val="20"/>
          <w:lang w:eastAsia="pt-BR"/>
        </w:rPr>
      </w:pPr>
      <w:r w:rsidRPr="00586592">
        <w:rPr>
          <w:rFonts w:ascii="Arial" w:hAnsi="Arial" w:cs="Arial"/>
          <w:sz w:val="20"/>
          <w:szCs w:val="20"/>
          <w:lang w:eastAsia="pt-BR"/>
        </w:rPr>
        <w:t>Os profissionais do Serviço Médico devem ser informados das vantagens e dos efeitos adversos, assim como dos riscos a que estarão expostos por falta ou recusa de vacinação, devendo, nestes casos, guardar documento comprobatório e mantê-lo disponível à inspeção do trabalho.</w:t>
      </w:r>
    </w:p>
    <w:p w14:paraId="2F5426B9" w14:textId="77777777" w:rsidR="00141BD2" w:rsidRPr="00586592" w:rsidRDefault="00141BD2" w:rsidP="00A66364">
      <w:pPr>
        <w:autoSpaceDE w:val="0"/>
        <w:autoSpaceDN w:val="0"/>
        <w:adjustRightInd w:val="0"/>
        <w:spacing w:after="120" w:line="360" w:lineRule="auto"/>
        <w:ind w:firstLine="708"/>
        <w:jc w:val="both"/>
        <w:rPr>
          <w:rFonts w:ascii="Arial" w:hAnsi="Arial" w:cs="Arial"/>
          <w:sz w:val="20"/>
          <w:szCs w:val="20"/>
          <w:lang w:eastAsia="pt-BR"/>
        </w:rPr>
      </w:pPr>
      <w:r w:rsidRPr="00586592">
        <w:rPr>
          <w:rFonts w:ascii="Arial" w:hAnsi="Arial" w:cs="Arial"/>
          <w:sz w:val="20"/>
          <w:szCs w:val="20"/>
          <w:lang w:eastAsia="pt-BR"/>
        </w:rPr>
        <w:lastRenderedPageBreak/>
        <w:t>A vacinação deve ser registrada no prontuário clínico individual do trabalhador, previsto na NR 7 e deve ser fornecido ao trabalhador comprovante das vacinas recebidas (cartão de vacinação).</w:t>
      </w:r>
    </w:p>
    <w:p w14:paraId="18CC0523" w14:textId="77777777" w:rsidR="00531A1F" w:rsidRDefault="00531A1F" w:rsidP="00141BD2">
      <w:pPr>
        <w:spacing w:after="120" w:line="360" w:lineRule="auto"/>
        <w:jc w:val="both"/>
        <w:rPr>
          <w:rFonts w:ascii="Arial" w:hAnsi="Arial" w:cs="Arial"/>
          <w:b/>
        </w:rPr>
      </w:pPr>
    </w:p>
    <w:p w14:paraId="1F28B8C7" w14:textId="5D4D41A5" w:rsidR="00141BD2" w:rsidRPr="0067622F" w:rsidRDefault="00141BD2" w:rsidP="00141BD2">
      <w:pPr>
        <w:spacing w:after="120" w:line="360" w:lineRule="auto"/>
        <w:jc w:val="both"/>
        <w:rPr>
          <w:rFonts w:ascii="Arial" w:hAnsi="Arial" w:cs="Arial"/>
          <w:b/>
        </w:rPr>
      </w:pPr>
      <w:r w:rsidRPr="0067622F">
        <w:rPr>
          <w:rFonts w:ascii="Arial" w:hAnsi="Arial" w:cs="Arial"/>
          <w:b/>
        </w:rPr>
        <w:t>V.6 - Entidades e Profissionais Credenciados pa</w:t>
      </w:r>
      <w:r w:rsidR="00A66364" w:rsidRPr="0067622F">
        <w:rPr>
          <w:rFonts w:ascii="Arial" w:hAnsi="Arial" w:cs="Arial"/>
          <w:b/>
        </w:rPr>
        <w:t>ra Prestação de Serviços de Saúde</w:t>
      </w:r>
      <w:r w:rsidRPr="0067622F">
        <w:rPr>
          <w:rFonts w:ascii="Arial" w:hAnsi="Arial" w:cs="Arial"/>
          <w:b/>
        </w:rPr>
        <w:t>:</w:t>
      </w:r>
    </w:p>
    <w:p w14:paraId="78457871" w14:textId="77777777" w:rsidR="00A66364" w:rsidRPr="0067622F" w:rsidRDefault="00A66364" w:rsidP="00141BD2">
      <w:pPr>
        <w:spacing w:after="120" w:line="360" w:lineRule="auto"/>
        <w:jc w:val="both"/>
        <w:rPr>
          <w:rFonts w:ascii="Arial" w:hAnsi="Arial" w:cs="Arial"/>
          <w:b/>
          <w:sz w:val="20"/>
          <w:szCs w:val="20"/>
        </w:rPr>
      </w:pPr>
    </w:p>
    <w:p w14:paraId="7D820F43" w14:textId="7FC3E86E" w:rsidR="00DA29DC" w:rsidRPr="004B75F8" w:rsidRDefault="00DA29DC" w:rsidP="00141BD2">
      <w:pPr>
        <w:spacing w:after="120" w:line="360" w:lineRule="auto"/>
        <w:jc w:val="both"/>
        <w:rPr>
          <w:rFonts w:ascii="Arial" w:hAnsi="Arial" w:cs="Arial"/>
          <w:b/>
          <w:sz w:val="20"/>
          <w:szCs w:val="20"/>
        </w:rPr>
      </w:pPr>
      <w:r>
        <w:rPr>
          <w:rFonts w:ascii="Arial" w:hAnsi="Arial" w:cs="Arial"/>
          <w:b/>
          <w:sz w:val="20"/>
          <w:szCs w:val="20"/>
        </w:rPr>
        <w:tab/>
      </w:r>
      <w:r w:rsidR="00A66364" w:rsidRPr="0067622F">
        <w:rPr>
          <w:rFonts w:ascii="Arial" w:hAnsi="Arial" w:cs="Arial"/>
          <w:b/>
          <w:sz w:val="20"/>
          <w:szCs w:val="20"/>
        </w:rPr>
        <w:t>Exames Cl</w:t>
      </w:r>
      <w:r w:rsidR="002B7FD7" w:rsidRPr="0067622F">
        <w:rPr>
          <w:rFonts w:ascii="Arial" w:hAnsi="Arial" w:cs="Arial"/>
          <w:b/>
          <w:sz w:val="20"/>
          <w:szCs w:val="20"/>
        </w:rPr>
        <w:t>ínicos</w:t>
      </w:r>
      <w:r w:rsidR="00D42940">
        <w:rPr>
          <w:rFonts w:ascii="Arial" w:hAnsi="Arial" w:cs="Arial"/>
          <w:b/>
          <w:sz w:val="20"/>
          <w:szCs w:val="20"/>
        </w:rPr>
        <w:t xml:space="preserve"> e Co</w:t>
      </w:r>
      <w:r>
        <w:rPr>
          <w:rFonts w:ascii="Arial" w:hAnsi="Arial" w:cs="Arial"/>
          <w:b/>
          <w:sz w:val="20"/>
          <w:szCs w:val="20"/>
        </w:rPr>
        <w:t>mplementares</w:t>
      </w:r>
      <w:r w:rsidR="002B7FD7" w:rsidRPr="0067622F">
        <w:rPr>
          <w:rFonts w:ascii="Arial" w:hAnsi="Arial" w:cs="Arial"/>
          <w:b/>
          <w:sz w:val="20"/>
          <w:szCs w:val="20"/>
        </w:rPr>
        <w:t xml:space="preserve"> </w:t>
      </w:r>
      <w:r w:rsidR="00A66364" w:rsidRPr="0067622F">
        <w:rPr>
          <w:rFonts w:ascii="Arial" w:hAnsi="Arial" w:cs="Arial"/>
          <w:b/>
          <w:sz w:val="20"/>
          <w:szCs w:val="20"/>
        </w:rPr>
        <w:t>Oc</w:t>
      </w:r>
      <w:r w:rsidR="002B7FD7" w:rsidRPr="0067622F">
        <w:rPr>
          <w:rFonts w:ascii="Arial" w:hAnsi="Arial" w:cs="Arial"/>
          <w:b/>
          <w:sz w:val="20"/>
          <w:szCs w:val="20"/>
        </w:rPr>
        <w:t>upacionais</w:t>
      </w:r>
      <w:r w:rsidR="00A66364" w:rsidRPr="0067622F">
        <w:rPr>
          <w:rFonts w:ascii="Arial" w:hAnsi="Arial" w:cs="Arial"/>
          <w:b/>
          <w:sz w:val="20"/>
          <w:szCs w:val="20"/>
        </w:rPr>
        <w:t>:</w:t>
      </w:r>
    </w:p>
    <w:tbl>
      <w:tblPr>
        <w:tblW w:w="10060" w:type="dxa"/>
        <w:jc w:val="center"/>
        <w:tblCellMar>
          <w:left w:w="70" w:type="dxa"/>
          <w:right w:w="70" w:type="dxa"/>
        </w:tblCellMar>
        <w:tblLook w:val="04A0" w:firstRow="1" w:lastRow="0" w:firstColumn="1" w:lastColumn="0" w:noHBand="0" w:noVBand="1"/>
      </w:tblPr>
      <w:tblGrid>
        <w:gridCol w:w="1696"/>
        <w:gridCol w:w="4253"/>
        <w:gridCol w:w="1984"/>
        <w:gridCol w:w="2127"/>
      </w:tblGrid>
      <w:tr w:rsidR="00175E94" w14:paraId="05A2FCFD" w14:textId="77777777" w:rsidTr="00DA29DC">
        <w:trPr>
          <w:trHeight w:val="170"/>
          <w:jc w:val="center"/>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10077E0F" w14:textId="77777777" w:rsidR="00175E94" w:rsidRDefault="00175E94">
            <w:pPr>
              <w:spacing w:line="240" w:lineRule="auto"/>
              <w:ind w:left="227"/>
              <w:jc w:val="both"/>
              <w:rPr>
                <w:rFonts w:ascii="Arial" w:eastAsia="Times New Roman" w:hAnsi="Arial" w:cs="Arial"/>
                <w:color w:val="000000"/>
              </w:rPr>
            </w:pPr>
            <w:r>
              <w:rPr>
                <w:rFonts w:ascii="Arial" w:hAnsi="Arial" w:cs="Arial"/>
                <w:color w:val="000000"/>
              </w:rPr>
              <w:t>Grupo AMO</w:t>
            </w:r>
          </w:p>
        </w:tc>
        <w:tc>
          <w:tcPr>
            <w:tcW w:w="4253" w:type="dxa"/>
            <w:tcBorders>
              <w:top w:val="single" w:sz="4" w:space="0" w:color="auto"/>
              <w:left w:val="nil"/>
              <w:bottom w:val="single" w:sz="4" w:space="0" w:color="auto"/>
              <w:right w:val="single" w:sz="4" w:space="0" w:color="auto"/>
            </w:tcBorders>
            <w:vAlign w:val="center"/>
            <w:hideMark/>
          </w:tcPr>
          <w:p w14:paraId="0A7BB7BB" w14:textId="77777777" w:rsidR="00175E94" w:rsidRDefault="00175E94">
            <w:pPr>
              <w:spacing w:line="240" w:lineRule="auto"/>
              <w:ind w:left="227"/>
              <w:jc w:val="both"/>
              <w:rPr>
                <w:rFonts w:ascii="Arial" w:hAnsi="Arial" w:cs="Arial"/>
                <w:color w:val="000000"/>
              </w:rPr>
            </w:pPr>
            <w:r>
              <w:rPr>
                <w:rFonts w:ascii="Arial" w:hAnsi="Arial" w:cs="Arial"/>
                <w:color w:val="000000"/>
              </w:rPr>
              <w:t>Avenida Leopoldino de Oliveira, 1247</w:t>
            </w:r>
          </w:p>
        </w:tc>
        <w:tc>
          <w:tcPr>
            <w:tcW w:w="1984" w:type="dxa"/>
            <w:tcBorders>
              <w:top w:val="single" w:sz="4" w:space="0" w:color="auto"/>
              <w:left w:val="nil"/>
              <w:bottom w:val="single" w:sz="4" w:space="0" w:color="auto"/>
              <w:right w:val="single" w:sz="4" w:space="0" w:color="auto"/>
            </w:tcBorders>
            <w:shd w:val="clear" w:color="auto" w:fill="FFFFFF"/>
            <w:vAlign w:val="center"/>
            <w:hideMark/>
          </w:tcPr>
          <w:p w14:paraId="47442FD7" w14:textId="7E2862E7" w:rsidR="00175E94" w:rsidRDefault="00175E94">
            <w:pPr>
              <w:spacing w:line="240" w:lineRule="auto"/>
              <w:ind w:left="227"/>
              <w:jc w:val="both"/>
              <w:rPr>
                <w:rFonts w:ascii="Arial" w:hAnsi="Arial" w:cs="Arial"/>
                <w:color w:val="000000"/>
              </w:rPr>
            </w:pPr>
            <w:r>
              <w:rPr>
                <w:rFonts w:ascii="Arial" w:hAnsi="Arial" w:cs="Arial"/>
                <w:color w:val="000000"/>
              </w:rPr>
              <w:t>Uberaba-MG</w:t>
            </w:r>
          </w:p>
        </w:tc>
        <w:tc>
          <w:tcPr>
            <w:tcW w:w="2127" w:type="dxa"/>
            <w:vMerge w:val="restart"/>
            <w:tcBorders>
              <w:top w:val="single" w:sz="4" w:space="0" w:color="auto"/>
              <w:left w:val="nil"/>
              <w:right w:val="single" w:sz="4" w:space="0" w:color="auto"/>
            </w:tcBorders>
            <w:shd w:val="clear" w:color="auto" w:fill="FFFFFF"/>
            <w:vAlign w:val="center"/>
            <w:hideMark/>
          </w:tcPr>
          <w:p w14:paraId="1DEC19B5" w14:textId="2E0AE9CA" w:rsidR="00175E94" w:rsidRPr="00FF0999" w:rsidRDefault="00314B95" w:rsidP="00A97C8C">
            <w:pPr>
              <w:spacing w:line="240" w:lineRule="auto"/>
              <w:ind w:left="227"/>
              <w:jc w:val="both"/>
              <w:rPr>
                <w:rFonts w:ascii="Arial" w:hAnsi="Arial" w:cs="Arial"/>
                <w:b/>
                <w:bCs/>
                <w:color w:val="000000"/>
              </w:rPr>
            </w:pPr>
            <w:r w:rsidRPr="00FF0999">
              <w:rPr>
                <w:rFonts w:ascii="Arial" w:hAnsi="Arial" w:cs="Arial"/>
                <w:b/>
                <w:bCs/>
                <w:color w:val="000000"/>
              </w:rPr>
              <w:t>(34)</w:t>
            </w:r>
            <w:r w:rsidR="00FF0999" w:rsidRPr="00FF0999">
              <w:rPr>
                <w:rFonts w:ascii="Arial" w:hAnsi="Arial" w:cs="Arial"/>
                <w:b/>
                <w:bCs/>
                <w:color w:val="000000"/>
              </w:rPr>
              <w:t xml:space="preserve"> </w:t>
            </w:r>
            <w:r w:rsidRPr="00FF0999">
              <w:rPr>
                <w:rFonts w:ascii="Arial" w:hAnsi="Arial" w:cs="Arial"/>
                <w:b/>
                <w:bCs/>
                <w:color w:val="000000"/>
              </w:rPr>
              <w:t>3334-3500</w:t>
            </w:r>
          </w:p>
        </w:tc>
      </w:tr>
      <w:tr w:rsidR="00175E94" w14:paraId="6178ACB5" w14:textId="77777777" w:rsidTr="00DA29DC">
        <w:trPr>
          <w:trHeight w:val="170"/>
          <w:jc w:val="center"/>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58D02D48" w14:textId="77777777" w:rsidR="00175E94" w:rsidRDefault="00175E94">
            <w:pPr>
              <w:spacing w:line="240" w:lineRule="auto"/>
              <w:ind w:left="227"/>
              <w:jc w:val="both"/>
              <w:rPr>
                <w:rFonts w:ascii="Arial" w:hAnsi="Arial" w:cs="Arial"/>
                <w:color w:val="000000"/>
              </w:rPr>
            </w:pPr>
            <w:r>
              <w:rPr>
                <w:rFonts w:ascii="Arial" w:hAnsi="Arial" w:cs="Arial"/>
                <w:color w:val="000000"/>
              </w:rPr>
              <w:t>Grupo AMO</w:t>
            </w:r>
          </w:p>
        </w:tc>
        <w:tc>
          <w:tcPr>
            <w:tcW w:w="4253" w:type="dxa"/>
            <w:tcBorders>
              <w:top w:val="single" w:sz="4" w:space="0" w:color="auto"/>
              <w:left w:val="nil"/>
              <w:bottom w:val="single" w:sz="4" w:space="0" w:color="auto"/>
              <w:right w:val="single" w:sz="4" w:space="0" w:color="auto"/>
            </w:tcBorders>
            <w:vAlign w:val="center"/>
            <w:hideMark/>
          </w:tcPr>
          <w:p w14:paraId="456605E9" w14:textId="77777777" w:rsidR="00175E94" w:rsidRDefault="00175E94">
            <w:pPr>
              <w:spacing w:line="240" w:lineRule="auto"/>
              <w:ind w:left="227"/>
              <w:jc w:val="both"/>
              <w:rPr>
                <w:rFonts w:ascii="Arial" w:hAnsi="Arial" w:cs="Arial"/>
                <w:color w:val="000000"/>
              </w:rPr>
            </w:pPr>
            <w:r>
              <w:rPr>
                <w:rFonts w:ascii="Arial" w:hAnsi="Arial" w:cs="Arial"/>
                <w:color w:val="000000"/>
              </w:rPr>
              <w:t>Rua Ituiutaba, 533</w:t>
            </w:r>
          </w:p>
        </w:tc>
        <w:tc>
          <w:tcPr>
            <w:tcW w:w="1984" w:type="dxa"/>
            <w:tcBorders>
              <w:top w:val="single" w:sz="4" w:space="0" w:color="auto"/>
              <w:left w:val="nil"/>
              <w:bottom w:val="single" w:sz="4" w:space="0" w:color="auto"/>
              <w:right w:val="single" w:sz="4" w:space="0" w:color="auto"/>
            </w:tcBorders>
            <w:shd w:val="clear" w:color="auto" w:fill="FFFFFF"/>
            <w:vAlign w:val="center"/>
            <w:hideMark/>
          </w:tcPr>
          <w:p w14:paraId="75FDA4EA" w14:textId="7871D488" w:rsidR="00175E94" w:rsidRDefault="00175E94">
            <w:pPr>
              <w:spacing w:line="240" w:lineRule="auto"/>
              <w:ind w:left="227"/>
              <w:jc w:val="both"/>
              <w:rPr>
                <w:rFonts w:ascii="Arial" w:hAnsi="Arial" w:cs="Arial"/>
                <w:color w:val="000000"/>
              </w:rPr>
            </w:pPr>
            <w:r>
              <w:rPr>
                <w:rFonts w:ascii="Arial" w:hAnsi="Arial" w:cs="Arial"/>
                <w:color w:val="000000"/>
              </w:rPr>
              <w:t>Uberaba-MG</w:t>
            </w:r>
          </w:p>
        </w:tc>
        <w:tc>
          <w:tcPr>
            <w:tcW w:w="2127" w:type="dxa"/>
            <w:vMerge/>
            <w:tcBorders>
              <w:left w:val="nil"/>
              <w:right w:val="single" w:sz="4" w:space="0" w:color="auto"/>
            </w:tcBorders>
            <w:shd w:val="clear" w:color="auto" w:fill="FFFFFF"/>
            <w:vAlign w:val="center"/>
            <w:hideMark/>
          </w:tcPr>
          <w:p w14:paraId="1EACAD14" w14:textId="3FBE93EF" w:rsidR="00175E94" w:rsidRDefault="00175E94" w:rsidP="00A97C8C">
            <w:pPr>
              <w:spacing w:line="240" w:lineRule="auto"/>
              <w:ind w:left="227"/>
              <w:jc w:val="both"/>
              <w:rPr>
                <w:rFonts w:ascii="Arial" w:hAnsi="Arial" w:cs="Arial"/>
                <w:color w:val="000000"/>
              </w:rPr>
            </w:pPr>
          </w:p>
        </w:tc>
      </w:tr>
      <w:tr w:rsidR="00175E94" w14:paraId="37C244A1" w14:textId="77777777" w:rsidTr="00DA29DC">
        <w:trPr>
          <w:trHeight w:val="170"/>
          <w:jc w:val="center"/>
        </w:trPr>
        <w:tc>
          <w:tcPr>
            <w:tcW w:w="1696" w:type="dxa"/>
            <w:tcBorders>
              <w:top w:val="single" w:sz="4" w:space="0" w:color="auto"/>
              <w:left w:val="single" w:sz="4" w:space="0" w:color="auto"/>
              <w:bottom w:val="single" w:sz="4" w:space="0" w:color="auto"/>
              <w:right w:val="single" w:sz="4" w:space="0" w:color="auto"/>
            </w:tcBorders>
            <w:noWrap/>
            <w:vAlign w:val="center"/>
            <w:hideMark/>
          </w:tcPr>
          <w:p w14:paraId="6D8690CA" w14:textId="77777777" w:rsidR="00175E94" w:rsidRDefault="00175E94">
            <w:pPr>
              <w:spacing w:line="240" w:lineRule="auto"/>
              <w:ind w:left="227"/>
              <w:jc w:val="both"/>
              <w:rPr>
                <w:rFonts w:ascii="Arial" w:hAnsi="Arial" w:cs="Arial"/>
                <w:color w:val="000000"/>
              </w:rPr>
            </w:pPr>
            <w:r>
              <w:rPr>
                <w:rFonts w:ascii="Arial" w:hAnsi="Arial" w:cs="Arial"/>
                <w:color w:val="000000"/>
              </w:rPr>
              <w:t>Grupo AMO</w:t>
            </w:r>
          </w:p>
        </w:tc>
        <w:tc>
          <w:tcPr>
            <w:tcW w:w="4253" w:type="dxa"/>
            <w:tcBorders>
              <w:top w:val="single" w:sz="4" w:space="0" w:color="auto"/>
              <w:left w:val="nil"/>
              <w:bottom w:val="single" w:sz="4" w:space="0" w:color="auto"/>
              <w:right w:val="single" w:sz="4" w:space="0" w:color="auto"/>
            </w:tcBorders>
            <w:vAlign w:val="center"/>
            <w:hideMark/>
          </w:tcPr>
          <w:p w14:paraId="5E6D8AF2" w14:textId="77777777" w:rsidR="00175E94" w:rsidRDefault="00175E94">
            <w:pPr>
              <w:spacing w:line="240" w:lineRule="auto"/>
              <w:ind w:left="227"/>
              <w:jc w:val="both"/>
              <w:rPr>
                <w:rFonts w:ascii="Arial" w:hAnsi="Arial" w:cs="Arial"/>
                <w:color w:val="000000"/>
              </w:rPr>
            </w:pPr>
            <w:r>
              <w:rPr>
                <w:rFonts w:ascii="Arial" w:hAnsi="Arial" w:cs="Arial"/>
                <w:color w:val="000000"/>
              </w:rPr>
              <w:t>Avenida Leopoldino de Oliveira, 1415</w:t>
            </w:r>
          </w:p>
        </w:tc>
        <w:tc>
          <w:tcPr>
            <w:tcW w:w="1984" w:type="dxa"/>
            <w:tcBorders>
              <w:top w:val="single" w:sz="4" w:space="0" w:color="auto"/>
              <w:left w:val="nil"/>
              <w:bottom w:val="single" w:sz="4" w:space="0" w:color="auto"/>
              <w:right w:val="single" w:sz="4" w:space="0" w:color="auto"/>
            </w:tcBorders>
            <w:shd w:val="clear" w:color="auto" w:fill="FFFFFF"/>
            <w:vAlign w:val="center"/>
            <w:hideMark/>
          </w:tcPr>
          <w:p w14:paraId="2B783F9B" w14:textId="1E2C20C3" w:rsidR="00175E94" w:rsidRDefault="00175E94">
            <w:pPr>
              <w:spacing w:line="240" w:lineRule="auto"/>
              <w:ind w:left="227"/>
              <w:jc w:val="both"/>
              <w:rPr>
                <w:rFonts w:ascii="Arial" w:hAnsi="Arial" w:cs="Arial"/>
                <w:color w:val="000000"/>
              </w:rPr>
            </w:pPr>
            <w:r>
              <w:rPr>
                <w:rFonts w:ascii="Arial" w:hAnsi="Arial" w:cs="Arial"/>
                <w:color w:val="000000"/>
              </w:rPr>
              <w:t>Uberaba-MG</w:t>
            </w:r>
          </w:p>
        </w:tc>
        <w:tc>
          <w:tcPr>
            <w:tcW w:w="2127" w:type="dxa"/>
            <w:vMerge/>
            <w:tcBorders>
              <w:left w:val="nil"/>
              <w:bottom w:val="single" w:sz="4" w:space="0" w:color="auto"/>
              <w:right w:val="single" w:sz="4" w:space="0" w:color="auto"/>
            </w:tcBorders>
            <w:shd w:val="clear" w:color="auto" w:fill="FFFFFF"/>
            <w:vAlign w:val="center"/>
            <w:hideMark/>
          </w:tcPr>
          <w:p w14:paraId="3F2CE10B" w14:textId="40405CF9" w:rsidR="00175E94" w:rsidRDefault="00175E94">
            <w:pPr>
              <w:spacing w:line="240" w:lineRule="auto"/>
              <w:ind w:left="227"/>
              <w:jc w:val="both"/>
              <w:rPr>
                <w:rFonts w:ascii="Arial" w:hAnsi="Arial" w:cs="Arial"/>
                <w:color w:val="000000"/>
              </w:rPr>
            </w:pPr>
          </w:p>
        </w:tc>
      </w:tr>
    </w:tbl>
    <w:p w14:paraId="6B633167" w14:textId="77777777" w:rsidR="009F3B12" w:rsidRDefault="00E36483" w:rsidP="009F3B12">
      <w:pPr>
        <w:spacing w:after="120" w:line="360" w:lineRule="auto"/>
        <w:jc w:val="both"/>
        <w:rPr>
          <w:rFonts w:ascii="Arial" w:hAnsi="Arial" w:cs="Arial"/>
          <w:b/>
          <w:sz w:val="20"/>
          <w:szCs w:val="20"/>
        </w:rPr>
      </w:pPr>
      <w:r>
        <w:rPr>
          <w:rFonts w:ascii="Arial" w:hAnsi="Arial" w:cs="Arial"/>
          <w:b/>
          <w:sz w:val="20"/>
          <w:szCs w:val="20"/>
        </w:rPr>
        <w:tab/>
      </w:r>
    </w:p>
    <w:p w14:paraId="4668F336" w14:textId="37E3A4D4" w:rsidR="00141BD2" w:rsidRPr="0067622F" w:rsidRDefault="009F3B12" w:rsidP="00FF0999">
      <w:pPr>
        <w:spacing w:after="120" w:line="360" w:lineRule="auto"/>
        <w:jc w:val="both"/>
        <w:rPr>
          <w:rFonts w:ascii="Arial" w:hAnsi="Arial" w:cs="Arial"/>
          <w:b/>
          <w:bCs/>
          <w:sz w:val="20"/>
          <w:szCs w:val="20"/>
        </w:rPr>
      </w:pPr>
      <w:r>
        <w:rPr>
          <w:rFonts w:ascii="Arial" w:hAnsi="Arial" w:cs="Arial"/>
          <w:b/>
          <w:sz w:val="20"/>
          <w:szCs w:val="20"/>
        </w:rPr>
        <w:tab/>
      </w:r>
      <w:r w:rsidR="00141BD2" w:rsidRPr="0067622F">
        <w:rPr>
          <w:rFonts w:ascii="Arial" w:hAnsi="Arial" w:cs="Arial"/>
          <w:b/>
          <w:bCs/>
          <w:sz w:val="20"/>
          <w:szCs w:val="20"/>
        </w:rPr>
        <w:t>Audiometrias:</w:t>
      </w:r>
    </w:p>
    <w:p w14:paraId="43473755" w14:textId="77777777" w:rsidR="00141BD2" w:rsidRPr="0067622F" w:rsidRDefault="00141BD2" w:rsidP="00141BD2">
      <w:pPr>
        <w:spacing w:after="120" w:line="360" w:lineRule="auto"/>
        <w:jc w:val="both"/>
        <w:rPr>
          <w:rFonts w:ascii="Arial" w:hAnsi="Arial" w:cs="Arial"/>
          <w:b/>
          <w:bCs/>
          <w:sz w:val="20"/>
          <w:szCs w:val="20"/>
        </w:rPr>
      </w:pPr>
      <w:r w:rsidRPr="0067622F">
        <w:rPr>
          <w:rFonts w:ascii="Arial" w:hAnsi="Arial" w:cs="Arial"/>
          <w:bCs/>
          <w:sz w:val="20"/>
          <w:szCs w:val="20"/>
        </w:rPr>
        <w:tab/>
      </w:r>
      <w:r w:rsidRPr="0067622F">
        <w:rPr>
          <w:rFonts w:ascii="Arial" w:hAnsi="Arial" w:cs="Arial"/>
          <w:b/>
          <w:bCs/>
          <w:sz w:val="20"/>
          <w:szCs w:val="20"/>
        </w:rPr>
        <w:t>Fonoaudióloga Rosa Maria Aragão da Silva</w:t>
      </w:r>
      <w:r w:rsidR="00D51A1F" w:rsidRPr="0067622F">
        <w:rPr>
          <w:rFonts w:ascii="Arial" w:hAnsi="Arial" w:cs="Arial"/>
          <w:b/>
          <w:bCs/>
          <w:sz w:val="20"/>
          <w:szCs w:val="20"/>
        </w:rPr>
        <w:t>.</w:t>
      </w:r>
    </w:p>
    <w:p w14:paraId="1E22941E" w14:textId="77777777" w:rsidR="00141BD2" w:rsidRDefault="00141BD2" w:rsidP="00141BD2">
      <w:pPr>
        <w:spacing w:after="120" w:line="360" w:lineRule="auto"/>
        <w:jc w:val="both"/>
        <w:rPr>
          <w:rFonts w:ascii="Arial" w:hAnsi="Arial" w:cs="Arial"/>
          <w:bCs/>
          <w:sz w:val="20"/>
          <w:szCs w:val="20"/>
        </w:rPr>
      </w:pPr>
      <w:r w:rsidRPr="0067622F">
        <w:rPr>
          <w:rFonts w:ascii="Arial" w:hAnsi="Arial" w:cs="Arial"/>
          <w:bCs/>
          <w:sz w:val="20"/>
          <w:szCs w:val="20"/>
        </w:rPr>
        <w:tab/>
      </w:r>
      <w:r w:rsidR="000141FC" w:rsidRPr="0067622F">
        <w:rPr>
          <w:rFonts w:ascii="Arial" w:hAnsi="Arial" w:cs="Arial"/>
          <w:bCs/>
          <w:sz w:val="20"/>
          <w:szCs w:val="20"/>
        </w:rPr>
        <w:t>(</w:t>
      </w:r>
      <w:r w:rsidRPr="0067622F">
        <w:rPr>
          <w:rFonts w:ascii="Arial" w:hAnsi="Arial" w:cs="Arial"/>
          <w:bCs/>
          <w:sz w:val="20"/>
          <w:szCs w:val="20"/>
        </w:rPr>
        <w:t>Realizada no Complexo Industrial de Uberaba</w:t>
      </w:r>
      <w:r w:rsidR="000141FC" w:rsidRPr="0067622F">
        <w:rPr>
          <w:rFonts w:ascii="Arial" w:hAnsi="Arial" w:cs="Arial"/>
          <w:bCs/>
          <w:sz w:val="20"/>
          <w:szCs w:val="20"/>
        </w:rPr>
        <w:t>)</w:t>
      </w:r>
      <w:r w:rsidR="00D51A1F" w:rsidRPr="0067622F">
        <w:rPr>
          <w:rFonts w:ascii="Arial" w:hAnsi="Arial" w:cs="Arial"/>
          <w:bCs/>
          <w:sz w:val="20"/>
          <w:szCs w:val="20"/>
        </w:rPr>
        <w:t>.</w:t>
      </w:r>
    </w:p>
    <w:p w14:paraId="0ACC0AD1" w14:textId="77777777" w:rsidR="0077731D" w:rsidRDefault="0077731D" w:rsidP="00141BD2">
      <w:pPr>
        <w:spacing w:after="120" w:line="360" w:lineRule="auto"/>
        <w:jc w:val="both"/>
        <w:rPr>
          <w:rFonts w:ascii="Arial" w:hAnsi="Arial" w:cs="Arial"/>
          <w:bCs/>
          <w:sz w:val="20"/>
          <w:szCs w:val="20"/>
        </w:rPr>
      </w:pPr>
    </w:p>
    <w:p w14:paraId="17D25C0E" w14:textId="26AEEBF6" w:rsidR="0077731D" w:rsidRPr="0077731D" w:rsidRDefault="00D42940" w:rsidP="00141BD2">
      <w:pPr>
        <w:spacing w:after="120" w:line="360" w:lineRule="auto"/>
        <w:jc w:val="both"/>
        <w:rPr>
          <w:rFonts w:ascii="Arial" w:hAnsi="Arial" w:cs="Arial"/>
          <w:b/>
          <w:sz w:val="20"/>
          <w:szCs w:val="20"/>
        </w:rPr>
      </w:pPr>
      <w:r>
        <w:rPr>
          <w:rFonts w:ascii="Arial" w:hAnsi="Arial" w:cs="Arial"/>
          <w:b/>
          <w:sz w:val="20"/>
          <w:szCs w:val="20"/>
        </w:rPr>
        <w:tab/>
      </w:r>
      <w:r w:rsidR="0077731D" w:rsidRPr="0077731D">
        <w:rPr>
          <w:rFonts w:ascii="Arial" w:hAnsi="Arial" w:cs="Arial"/>
          <w:b/>
          <w:sz w:val="20"/>
          <w:szCs w:val="20"/>
        </w:rPr>
        <w:t xml:space="preserve">Aquisição de matérias e equipamentos de Saúde </w:t>
      </w:r>
    </w:p>
    <w:p w14:paraId="4B352615" w14:textId="366DF783" w:rsidR="002F4A23" w:rsidRDefault="00BF2671" w:rsidP="00141BD2">
      <w:pPr>
        <w:spacing w:after="120" w:line="360" w:lineRule="auto"/>
        <w:jc w:val="both"/>
        <w:rPr>
          <w:rFonts w:ascii="Arial" w:hAnsi="Arial" w:cs="Arial"/>
          <w:b/>
          <w:bCs/>
          <w:sz w:val="20"/>
          <w:szCs w:val="20"/>
        </w:rPr>
      </w:pPr>
      <w:r>
        <w:rPr>
          <w:rFonts w:ascii="Arial" w:hAnsi="Arial" w:cs="Arial"/>
          <w:b/>
          <w:bCs/>
          <w:sz w:val="20"/>
          <w:szCs w:val="20"/>
        </w:rPr>
        <w:tab/>
        <w:t xml:space="preserve">Ponto Hospitalar </w:t>
      </w:r>
    </w:p>
    <w:p w14:paraId="7DEEFF58" w14:textId="62C06B66" w:rsidR="00BF2671" w:rsidRPr="002C68C5" w:rsidRDefault="00BF2671" w:rsidP="00141BD2">
      <w:pPr>
        <w:spacing w:after="120" w:line="360" w:lineRule="auto"/>
        <w:jc w:val="both"/>
        <w:rPr>
          <w:rFonts w:ascii="Arial" w:hAnsi="Arial" w:cs="Arial"/>
          <w:sz w:val="20"/>
          <w:szCs w:val="20"/>
        </w:rPr>
      </w:pPr>
      <w:r>
        <w:rPr>
          <w:rFonts w:ascii="Arial" w:hAnsi="Arial" w:cs="Arial"/>
          <w:b/>
          <w:bCs/>
          <w:sz w:val="20"/>
          <w:szCs w:val="20"/>
        </w:rPr>
        <w:tab/>
      </w:r>
      <w:r w:rsidRPr="002C68C5">
        <w:rPr>
          <w:rFonts w:ascii="Arial" w:hAnsi="Arial" w:cs="Arial"/>
          <w:sz w:val="20"/>
          <w:szCs w:val="20"/>
        </w:rPr>
        <w:t>Avenida Francisco Pagliaro</w:t>
      </w:r>
      <w:r w:rsidR="002C68C5" w:rsidRPr="002C68C5">
        <w:rPr>
          <w:rFonts w:ascii="Arial" w:hAnsi="Arial" w:cs="Arial"/>
          <w:sz w:val="20"/>
          <w:szCs w:val="20"/>
        </w:rPr>
        <w:t>,30</w:t>
      </w:r>
    </w:p>
    <w:p w14:paraId="10FEE36A" w14:textId="609C60AC" w:rsidR="002C68C5" w:rsidRPr="002C68C5" w:rsidRDefault="002C68C5" w:rsidP="002C68C5">
      <w:pPr>
        <w:spacing w:after="120" w:line="360" w:lineRule="auto"/>
        <w:ind w:firstLine="708"/>
        <w:jc w:val="both"/>
        <w:rPr>
          <w:rFonts w:ascii="Arial" w:hAnsi="Arial" w:cs="Arial"/>
          <w:sz w:val="20"/>
          <w:szCs w:val="20"/>
        </w:rPr>
      </w:pPr>
      <w:r w:rsidRPr="002C68C5">
        <w:rPr>
          <w:rFonts w:ascii="Arial" w:hAnsi="Arial" w:cs="Arial"/>
          <w:sz w:val="20"/>
          <w:szCs w:val="20"/>
        </w:rPr>
        <w:t xml:space="preserve">São Benedito / Uberaba – MG </w:t>
      </w:r>
    </w:p>
    <w:p w14:paraId="0318392B" w14:textId="77777777" w:rsidR="002F4A23" w:rsidRDefault="002F4A23" w:rsidP="00141BD2">
      <w:pPr>
        <w:spacing w:after="120" w:line="360" w:lineRule="auto"/>
        <w:jc w:val="both"/>
        <w:rPr>
          <w:rFonts w:ascii="Arial" w:hAnsi="Arial" w:cs="Arial"/>
          <w:b/>
          <w:bCs/>
          <w:sz w:val="20"/>
          <w:szCs w:val="20"/>
        </w:rPr>
      </w:pPr>
    </w:p>
    <w:p w14:paraId="2B37C1B2" w14:textId="112D8E71" w:rsidR="00163B77" w:rsidRDefault="00163B77" w:rsidP="00141BD2">
      <w:pPr>
        <w:spacing w:after="120" w:line="360" w:lineRule="auto"/>
        <w:jc w:val="both"/>
        <w:rPr>
          <w:rFonts w:ascii="Arial" w:hAnsi="Arial" w:cs="Arial"/>
          <w:b/>
          <w:bCs/>
          <w:sz w:val="20"/>
          <w:szCs w:val="20"/>
        </w:rPr>
      </w:pPr>
      <w:r>
        <w:rPr>
          <w:rFonts w:ascii="Arial" w:hAnsi="Arial" w:cs="Arial"/>
          <w:b/>
          <w:bCs/>
          <w:sz w:val="20"/>
          <w:szCs w:val="20"/>
        </w:rPr>
        <w:tab/>
      </w:r>
      <w:proofErr w:type="spellStart"/>
      <w:r>
        <w:rPr>
          <w:rFonts w:ascii="Arial" w:hAnsi="Arial" w:cs="Arial"/>
          <w:b/>
          <w:bCs/>
          <w:sz w:val="20"/>
          <w:szCs w:val="20"/>
        </w:rPr>
        <w:t>Dujato</w:t>
      </w:r>
      <w:proofErr w:type="spellEnd"/>
    </w:p>
    <w:p w14:paraId="06A1D80C" w14:textId="135376E4" w:rsidR="00163B77" w:rsidRPr="005D5BB5" w:rsidRDefault="00163B77" w:rsidP="00141BD2">
      <w:pPr>
        <w:spacing w:after="120" w:line="360" w:lineRule="auto"/>
        <w:jc w:val="both"/>
        <w:rPr>
          <w:rFonts w:ascii="Arial" w:hAnsi="Arial" w:cs="Arial"/>
          <w:sz w:val="20"/>
          <w:szCs w:val="20"/>
        </w:rPr>
      </w:pPr>
      <w:r>
        <w:rPr>
          <w:rFonts w:ascii="Arial" w:hAnsi="Arial" w:cs="Arial"/>
          <w:b/>
          <w:bCs/>
          <w:sz w:val="20"/>
          <w:szCs w:val="20"/>
        </w:rPr>
        <w:tab/>
      </w:r>
      <w:r w:rsidRPr="005D5BB5">
        <w:rPr>
          <w:rFonts w:ascii="Arial" w:hAnsi="Arial" w:cs="Arial"/>
          <w:sz w:val="20"/>
          <w:szCs w:val="20"/>
        </w:rPr>
        <w:t>Avenida Orlando Rodrigues da Cunha</w:t>
      </w:r>
      <w:r w:rsidR="005D5BB5" w:rsidRPr="005D5BB5">
        <w:rPr>
          <w:rFonts w:ascii="Arial" w:hAnsi="Arial" w:cs="Arial"/>
          <w:sz w:val="20"/>
          <w:szCs w:val="20"/>
        </w:rPr>
        <w:t>, 2356</w:t>
      </w:r>
    </w:p>
    <w:p w14:paraId="44FDCAE7" w14:textId="56C04027" w:rsidR="005D5BB5" w:rsidRPr="005D5BB5" w:rsidRDefault="005D5BB5" w:rsidP="00141BD2">
      <w:pPr>
        <w:spacing w:after="120" w:line="360" w:lineRule="auto"/>
        <w:jc w:val="both"/>
        <w:rPr>
          <w:rFonts w:ascii="Arial" w:hAnsi="Arial" w:cs="Arial"/>
          <w:sz w:val="20"/>
          <w:szCs w:val="20"/>
        </w:rPr>
      </w:pPr>
      <w:r w:rsidRPr="005D5BB5">
        <w:rPr>
          <w:rFonts w:ascii="Arial" w:hAnsi="Arial" w:cs="Arial"/>
          <w:sz w:val="20"/>
          <w:szCs w:val="20"/>
        </w:rPr>
        <w:tab/>
        <w:t>Telefone: (34) 99769-3987</w:t>
      </w:r>
    </w:p>
    <w:p w14:paraId="339C34AD" w14:textId="77777777" w:rsidR="00F97A52" w:rsidRDefault="00F97A52" w:rsidP="00141BD2">
      <w:pPr>
        <w:spacing w:after="120" w:line="360" w:lineRule="auto"/>
        <w:jc w:val="both"/>
        <w:rPr>
          <w:rFonts w:ascii="Arial" w:hAnsi="Arial" w:cs="Arial"/>
          <w:b/>
          <w:bCs/>
          <w:sz w:val="20"/>
          <w:szCs w:val="20"/>
        </w:rPr>
      </w:pPr>
    </w:p>
    <w:p w14:paraId="053E45F3" w14:textId="0FAB244C" w:rsidR="003B179E" w:rsidRDefault="00210070" w:rsidP="00141BD2">
      <w:pPr>
        <w:spacing w:after="120" w:line="360" w:lineRule="auto"/>
        <w:jc w:val="both"/>
        <w:rPr>
          <w:rFonts w:ascii="Arial" w:hAnsi="Arial" w:cs="Arial"/>
          <w:b/>
          <w:bCs/>
          <w:sz w:val="20"/>
          <w:szCs w:val="20"/>
        </w:rPr>
      </w:pPr>
      <w:r>
        <w:rPr>
          <w:rFonts w:ascii="Arial" w:hAnsi="Arial" w:cs="Arial"/>
          <w:b/>
          <w:bCs/>
          <w:sz w:val="20"/>
          <w:szCs w:val="20"/>
        </w:rPr>
        <w:t xml:space="preserve">V6.1 - </w:t>
      </w:r>
      <w:r w:rsidR="003B179E">
        <w:rPr>
          <w:rFonts w:ascii="Arial" w:hAnsi="Arial" w:cs="Arial"/>
          <w:b/>
          <w:bCs/>
          <w:sz w:val="20"/>
          <w:szCs w:val="20"/>
        </w:rPr>
        <w:t xml:space="preserve">Atendimentos de urgência e emergência </w:t>
      </w:r>
    </w:p>
    <w:p w14:paraId="77161905" w14:textId="77777777" w:rsidR="003B179E" w:rsidRDefault="003B179E" w:rsidP="003B179E">
      <w:r>
        <w:rPr>
          <w:noProof/>
          <w:lang w:eastAsia="pt-BR"/>
        </w:rPr>
        <w:lastRenderedPageBreak/>
        <w:drawing>
          <wp:inline distT="0" distB="0" distL="0" distR="0" wp14:anchorId="25CAC98E" wp14:editId="0E9D0828">
            <wp:extent cx="6112478" cy="3466866"/>
            <wp:effectExtent l="0" t="38100" r="22225" b="19685"/>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71EFD77" w14:textId="77777777" w:rsidR="0063099F" w:rsidRDefault="0063099F" w:rsidP="00141BD2">
      <w:pPr>
        <w:pStyle w:val="Default"/>
        <w:spacing w:after="120" w:line="360" w:lineRule="auto"/>
        <w:rPr>
          <w:rFonts w:ascii="Arial" w:hAnsi="Arial" w:cs="Arial"/>
          <w:b/>
          <w:sz w:val="20"/>
          <w:szCs w:val="20"/>
        </w:rPr>
      </w:pPr>
    </w:p>
    <w:p w14:paraId="07F3E477" w14:textId="5619CECA" w:rsidR="00141BD2" w:rsidRPr="0067622F" w:rsidRDefault="00141BD2" w:rsidP="00141BD2">
      <w:pPr>
        <w:pStyle w:val="Default"/>
        <w:spacing w:after="120" w:line="360" w:lineRule="auto"/>
        <w:rPr>
          <w:rFonts w:ascii="Arial" w:hAnsi="Arial" w:cs="Arial"/>
          <w:b/>
          <w:sz w:val="20"/>
          <w:szCs w:val="20"/>
        </w:rPr>
      </w:pPr>
      <w:r w:rsidRPr="0067622F">
        <w:rPr>
          <w:rFonts w:ascii="Arial" w:hAnsi="Arial" w:cs="Arial"/>
          <w:b/>
          <w:sz w:val="20"/>
          <w:szCs w:val="20"/>
        </w:rPr>
        <w:t>V.7 – Referências Bibliográficas</w:t>
      </w:r>
    </w:p>
    <w:p w14:paraId="329065B3" w14:textId="77777777" w:rsidR="00141BD2" w:rsidRPr="0067622F" w:rsidRDefault="00141BD2" w:rsidP="00141BD2">
      <w:pPr>
        <w:pStyle w:val="Default"/>
        <w:spacing w:after="120" w:line="360" w:lineRule="auto"/>
        <w:jc w:val="both"/>
        <w:rPr>
          <w:rFonts w:ascii="Arial" w:hAnsi="Arial" w:cs="Arial"/>
          <w:sz w:val="20"/>
          <w:szCs w:val="20"/>
        </w:rPr>
      </w:pPr>
      <w:r w:rsidRPr="0067622F">
        <w:rPr>
          <w:rFonts w:ascii="Arial" w:hAnsi="Arial" w:cs="Arial"/>
          <w:b/>
          <w:i/>
          <w:sz w:val="20"/>
          <w:szCs w:val="20"/>
        </w:rPr>
        <w:t>Atualização em Vacinação Ocupacional – Guia Prático</w:t>
      </w:r>
      <w:r w:rsidRPr="0067622F">
        <w:rPr>
          <w:rFonts w:ascii="Arial" w:hAnsi="Arial" w:cs="Arial"/>
          <w:b/>
          <w:sz w:val="20"/>
          <w:szCs w:val="20"/>
        </w:rPr>
        <w:t xml:space="preserve"> </w:t>
      </w:r>
      <w:r w:rsidRPr="0067622F">
        <w:rPr>
          <w:rFonts w:ascii="Arial" w:hAnsi="Arial" w:cs="Arial"/>
          <w:sz w:val="20"/>
          <w:szCs w:val="20"/>
        </w:rPr>
        <w:t xml:space="preserve">(Sociedade Brasileira de Imunizações – </w:t>
      </w:r>
      <w:proofErr w:type="spellStart"/>
      <w:r w:rsidRPr="0067622F">
        <w:rPr>
          <w:rFonts w:ascii="Arial" w:hAnsi="Arial" w:cs="Arial"/>
          <w:sz w:val="20"/>
          <w:szCs w:val="20"/>
        </w:rPr>
        <w:t>SBIm</w:t>
      </w:r>
      <w:proofErr w:type="spellEnd"/>
      <w:r w:rsidRPr="0067622F">
        <w:rPr>
          <w:rFonts w:ascii="Arial" w:hAnsi="Arial" w:cs="Arial"/>
          <w:sz w:val="20"/>
          <w:szCs w:val="20"/>
        </w:rPr>
        <w:t xml:space="preserve"> e Associação Nacional de Medicina do Trabalho – ANAMT; 2007)</w:t>
      </w:r>
    </w:p>
    <w:p w14:paraId="689A4DE8" w14:textId="77777777" w:rsidR="00141BD2" w:rsidRPr="0067622F" w:rsidRDefault="00141BD2" w:rsidP="00141BD2">
      <w:pPr>
        <w:autoSpaceDE w:val="0"/>
        <w:autoSpaceDN w:val="0"/>
        <w:adjustRightInd w:val="0"/>
        <w:spacing w:after="0" w:line="240" w:lineRule="auto"/>
        <w:jc w:val="both"/>
        <w:rPr>
          <w:rFonts w:ascii="Arial" w:hAnsi="Arial" w:cs="Arial"/>
          <w:bCs/>
          <w:sz w:val="20"/>
          <w:szCs w:val="20"/>
          <w:lang w:eastAsia="pt-BR"/>
        </w:rPr>
      </w:pPr>
      <w:r w:rsidRPr="0067622F">
        <w:rPr>
          <w:rFonts w:ascii="Arial" w:hAnsi="Arial" w:cs="Arial"/>
          <w:b/>
          <w:bCs/>
          <w:i/>
          <w:sz w:val="20"/>
          <w:szCs w:val="20"/>
          <w:lang w:eastAsia="pt-BR"/>
        </w:rPr>
        <w:t>Atendimento ao Acidentado com Material Biológico</w:t>
      </w:r>
      <w:r w:rsidRPr="0067622F">
        <w:rPr>
          <w:rFonts w:ascii="Arial" w:hAnsi="Arial" w:cs="Arial"/>
          <w:b/>
          <w:bCs/>
          <w:sz w:val="20"/>
          <w:szCs w:val="20"/>
          <w:lang w:eastAsia="pt-BR"/>
        </w:rPr>
        <w:t xml:space="preserve"> </w:t>
      </w:r>
      <w:r w:rsidRPr="0067622F">
        <w:rPr>
          <w:rFonts w:ascii="Arial" w:hAnsi="Arial" w:cs="Arial"/>
          <w:bCs/>
          <w:sz w:val="20"/>
          <w:szCs w:val="20"/>
          <w:lang w:eastAsia="pt-BR"/>
        </w:rPr>
        <w:t>(Secretaria de Estado de Saúde de Minas Gerais - Coordenadoria Estadual de DST/Aids; 2004)</w:t>
      </w:r>
    </w:p>
    <w:p w14:paraId="02AB9ADF" w14:textId="77777777" w:rsidR="00141BD2" w:rsidRPr="0067622F" w:rsidRDefault="00141BD2" w:rsidP="00141BD2">
      <w:pPr>
        <w:autoSpaceDE w:val="0"/>
        <w:autoSpaceDN w:val="0"/>
        <w:adjustRightInd w:val="0"/>
        <w:spacing w:after="0" w:line="240" w:lineRule="auto"/>
        <w:jc w:val="both"/>
        <w:rPr>
          <w:rFonts w:ascii="Arial" w:hAnsi="Arial" w:cs="Arial"/>
          <w:bCs/>
          <w:sz w:val="20"/>
          <w:szCs w:val="20"/>
          <w:lang w:eastAsia="pt-BR"/>
        </w:rPr>
      </w:pPr>
    </w:p>
    <w:p w14:paraId="0C610B79" w14:textId="77777777" w:rsidR="00141BD2" w:rsidRPr="0067622F" w:rsidRDefault="00141BD2" w:rsidP="00141BD2">
      <w:pPr>
        <w:autoSpaceDE w:val="0"/>
        <w:autoSpaceDN w:val="0"/>
        <w:adjustRightInd w:val="0"/>
        <w:spacing w:after="0" w:line="240" w:lineRule="auto"/>
        <w:jc w:val="both"/>
        <w:rPr>
          <w:rFonts w:ascii="Arial" w:hAnsi="Arial" w:cs="Arial"/>
          <w:bCs/>
          <w:sz w:val="20"/>
          <w:szCs w:val="20"/>
          <w:lang w:eastAsia="pt-BR"/>
        </w:rPr>
      </w:pPr>
      <w:r w:rsidRPr="0067622F">
        <w:rPr>
          <w:rFonts w:ascii="Arial" w:hAnsi="Arial" w:cs="Arial"/>
          <w:b/>
          <w:bCs/>
          <w:i/>
          <w:sz w:val="20"/>
          <w:szCs w:val="20"/>
          <w:lang w:eastAsia="pt-BR"/>
        </w:rPr>
        <w:t>Riscos Biológicos – Guia Técnico</w:t>
      </w:r>
      <w:r w:rsidRPr="0067622F">
        <w:rPr>
          <w:rFonts w:ascii="Arial" w:hAnsi="Arial" w:cs="Arial"/>
          <w:bCs/>
          <w:sz w:val="20"/>
          <w:szCs w:val="20"/>
          <w:lang w:eastAsia="pt-BR"/>
        </w:rPr>
        <w:t xml:space="preserve"> (Ministério do Trabalho – Comissão Nacional Permanente da NR 32; 2008) </w:t>
      </w:r>
    </w:p>
    <w:p w14:paraId="0201C5C1" w14:textId="77777777" w:rsidR="001063F0" w:rsidRDefault="001063F0">
      <w:pPr>
        <w:rPr>
          <w:sz w:val="20"/>
          <w:szCs w:val="20"/>
        </w:rPr>
      </w:pPr>
    </w:p>
    <w:p w14:paraId="02AA8E4D" w14:textId="77777777" w:rsidR="002F4A23" w:rsidRPr="0067622F" w:rsidRDefault="002F4A23">
      <w:pPr>
        <w:rPr>
          <w:sz w:val="20"/>
          <w:szCs w:val="20"/>
        </w:rPr>
      </w:pPr>
    </w:p>
    <w:p w14:paraId="190C2857" w14:textId="2C4DCC90" w:rsidR="001063F0" w:rsidRPr="008C560C" w:rsidRDefault="00150C7A" w:rsidP="001063F0">
      <w:pPr>
        <w:jc w:val="right"/>
        <w:rPr>
          <w:rFonts w:ascii="Arial" w:hAnsi="Arial" w:cs="Arial"/>
          <w:b/>
          <w:sz w:val="20"/>
          <w:szCs w:val="20"/>
        </w:rPr>
      </w:pPr>
      <w:r w:rsidRPr="008C560C">
        <w:rPr>
          <w:rFonts w:ascii="Arial" w:hAnsi="Arial" w:cs="Arial"/>
          <w:b/>
          <w:sz w:val="20"/>
          <w:szCs w:val="20"/>
        </w:rPr>
        <w:t>Uberaba,</w:t>
      </w:r>
      <w:r w:rsidR="002F4A23" w:rsidRPr="008C560C">
        <w:rPr>
          <w:rFonts w:ascii="Arial" w:hAnsi="Arial" w:cs="Arial"/>
          <w:b/>
          <w:sz w:val="20"/>
          <w:szCs w:val="20"/>
        </w:rPr>
        <w:t xml:space="preserve"> </w:t>
      </w:r>
      <w:r w:rsidR="008C560C" w:rsidRPr="008C560C">
        <w:rPr>
          <w:rFonts w:ascii="Arial" w:hAnsi="Arial" w:cs="Arial"/>
          <w:b/>
          <w:sz w:val="20"/>
          <w:szCs w:val="20"/>
        </w:rPr>
        <w:t>__</w:t>
      </w:r>
      <w:r w:rsidR="00D66A00" w:rsidRPr="008C560C">
        <w:rPr>
          <w:rFonts w:ascii="Arial" w:hAnsi="Arial" w:cs="Arial"/>
          <w:b/>
          <w:sz w:val="20"/>
          <w:szCs w:val="20"/>
        </w:rPr>
        <w:t xml:space="preserve"> de </w:t>
      </w:r>
      <w:r w:rsidR="008C560C" w:rsidRPr="008C560C">
        <w:rPr>
          <w:rFonts w:ascii="Arial" w:hAnsi="Arial" w:cs="Arial"/>
          <w:b/>
          <w:sz w:val="20"/>
          <w:szCs w:val="20"/>
        </w:rPr>
        <w:t>______</w:t>
      </w:r>
      <w:r w:rsidR="00D66A00" w:rsidRPr="008C560C">
        <w:rPr>
          <w:rFonts w:ascii="Arial" w:hAnsi="Arial" w:cs="Arial"/>
          <w:b/>
          <w:sz w:val="20"/>
          <w:szCs w:val="20"/>
        </w:rPr>
        <w:t xml:space="preserve"> </w:t>
      </w:r>
      <w:proofErr w:type="spellStart"/>
      <w:r w:rsidR="00D66A00" w:rsidRPr="008C560C">
        <w:rPr>
          <w:rFonts w:ascii="Arial" w:hAnsi="Arial" w:cs="Arial"/>
          <w:b/>
          <w:sz w:val="20"/>
          <w:szCs w:val="20"/>
        </w:rPr>
        <w:t>de</w:t>
      </w:r>
      <w:proofErr w:type="spellEnd"/>
      <w:r w:rsidR="00D66A00" w:rsidRPr="008C560C">
        <w:rPr>
          <w:rFonts w:ascii="Arial" w:hAnsi="Arial" w:cs="Arial"/>
          <w:b/>
          <w:sz w:val="20"/>
          <w:szCs w:val="20"/>
        </w:rPr>
        <w:t xml:space="preserve"> 20</w:t>
      </w:r>
      <w:r w:rsidR="008C560C" w:rsidRPr="008C560C">
        <w:rPr>
          <w:rFonts w:ascii="Arial" w:hAnsi="Arial" w:cs="Arial"/>
          <w:b/>
          <w:sz w:val="20"/>
          <w:szCs w:val="20"/>
        </w:rPr>
        <w:t>___</w:t>
      </w:r>
      <w:r w:rsidR="001063F0" w:rsidRPr="008C560C">
        <w:rPr>
          <w:rFonts w:ascii="Arial" w:hAnsi="Arial" w:cs="Arial"/>
          <w:b/>
          <w:sz w:val="20"/>
          <w:szCs w:val="20"/>
        </w:rPr>
        <w:t>.</w:t>
      </w:r>
    </w:p>
    <w:p w14:paraId="0DF7B9D1" w14:textId="4FF60E7F" w:rsidR="00FF4CA9" w:rsidRPr="008C560C" w:rsidRDefault="00FF4CA9" w:rsidP="001063F0">
      <w:pPr>
        <w:jc w:val="right"/>
        <w:rPr>
          <w:rFonts w:ascii="Arial" w:hAnsi="Arial" w:cs="Arial"/>
          <w:b/>
          <w:sz w:val="20"/>
          <w:szCs w:val="20"/>
        </w:rPr>
      </w:pPr>
    </w:p>
    <w:p w14:paraId="42134289" w14:textId="77777777" w:rsidR="001063F0" w:rsidRPr="008C560C" w:rsidRDefault="001063F0" w:rsidP="001063F0">
      <w:pPr>
        <w:spacing w:after="120" w:line="240" w:lineRule="auto"/>
        <w:jc w:val="center"/>
        <w:rPr>
          <w:rFonts w:ascii="Arial" w:eastAsia="Times New Roman" w:hAnsi="Arial" w:cs="Arial"/>
          <w:b/>
          <w:sz w:val="24"/>
          <w:szCs w:val="24"/>
          <w:lang w:eastAsia="pt-BR"/>
        </w:rPr>
      </w:pPr>
      <w:r w:rsidRPr="008C560C">
        <w:rPr>
          <w:rFonts w:ascii="Arial" w:eastAsia="Times New Roman" w:hAnsi="Arial" w:cs="Arial"/>
          <w:b/>
          <w:sz w:val="24"/>
          <w:szCs w:val="24"/>
          <w:lang w:eastAsia="pt-BR"/>
        </w:rPr>
        <w:t>_____________________________________________</w:t>
      </w:r>
    </w:p>
    <w:p w14:paraId="77EC5BAE" w14:textId="77777777" w:rsidR="001063F0" w:rsidRPr="008C560C" w:rsidRDefault="001063F0" w:rsidP="001063F0">
      <w:pPr>
        <w:spacing w:after="120" w:line="240" w:lineRule="auto"/>
        <w:jc w:val="center"/>
        <w:rPr>
          <w:rFonts w:ascii="Arial" w:eastAsia="Times New Roman" w:hAnsi="Arial" w:cs="Arial"/>
          <w:b/>
          <w:lang w:eastAsia="pt-BR"/>
        </w:rPr>
      </w:pPr>
      <w:r w:rsidRPr="008C560C">
        <w:rPr>
          <w:rFonts w:ascii="Arial" w:eastAsia="Times New Roman" w:hAnsi="Arial" w:cs="Arial"/>
          <w:b/>
          <w:lang w:eastAsia="pt-BR"/>
        </w:rPr>
        <w:t>COORDENADOR DO PCMSO</w:t>
      </w:r>
    </w:p>
    <w:p w14:paraId="338F90E8" w14:textId="79369714" w:rsidR="00A8517E" w:rsidRPr="008C560C" w:rsidRDefault="00A8517E" w:rsidP="00A8517E">
      <w:pPr>
        <w:spacing w:line="360" w:lineRule="auto"/>
        <w:jc w:val="center"/>
        <w:rPr>
          <w:rFonts w:ascii="Arial" w:eastAsia="Times New Roman" w:hAnsi="Arial" w:cs="Arial"/>
          <w:b/>
          <w:sz w:val="18"/>
          <w:szCs w:val="18"/>
        </w:rPr>
      </w:pPr>
      <w:r w:rsidRPr="008C560C">
        <w:rPr>
          <w:rFonts w:ascii="Arial" w:hAnsi="Arial" w:cs="Arial"/>
          <w:b/>
          <w:sz w:val="18"/>
          <w:szCs w:val="18"/>
        </w:rPr>
        <w:t xml:space="preserve">Dr. Kl </w:t>
      </w:r>
    </w:p>
    <w:p w14:paraId="25B6DE9D" w14:textId="086A832A" w:rsidR="00A8517E" w:rsidRPr="008C560C" w:rsidRDefault="00A8517E" w:rsidP="00A8517E">
      <w:pPr>
        <w:spacing w:line="360" w:lineRule="auto"/>
        <w:jc w:val="center"/>
        <w:rPr>
          <w:rFonts w:ascii="Arial" w:hAnsi="Arial" w:cs="Arial"/>
          <w:b/>
          <w:sz w:val="18"/>
          <w:szCs w:val="18"/>
        </w:rPr>
      </w:pPr>
      <w:r w:rsidRPr="008C560C">
        <w:rPr>
          <w:rFonts w:ascii="Arial" w:hAnsi="Arial" w:cs="Arial"/>
          <w:b/>
          <w:sz w:val="18"/>
          <w:szCs w:val="18"/>
        </w:rPr>
        <w:t xml:space="preserve">CRM MG </w:t>
      </w:r>
    </w:p>
    <w:p w14:paraId="7386E7B4" w14:textId="77777777" w:rsidR="00A8517E" w:rsidRPr="008C560C" w:rsidRDefault="00A8517E" w:rsidP="00A8517E">
      <w:pPr>
        <w:spacing w:line="360" w:lineRule="auto"/>
        <w:jc w:val="center"/>
        <w:rPr>
          <w:rFonts w:ascii="Arial" w:hAnsi="Arial" w:cs="Arial"/>
          <w:b/>
          <w:sz w:val="18"/>
          <w:szCs w:val="18"/>
        </w:rPr>
      </w:pPr>
      <w:r w:rsidRPr="008C560C">
        <w:rPr>
          <w:rFonts w:ascii="Arial" w:hAnsi="Arial" w:cs="Arial"/>
          <w:b/>
          <w:sz w:val="18"/>
          <w:szCs w:val="18"/>
        </w:rPr>
        <w:t>Especialista em Medicina do Trabalho</w:t>
      </w:r>
    </w:p>
    <w:p w14:paraId="222DE78A" w14:textId="7F940C18" w:rsidR="001063F0" w:rsidRDefault="00A8517E" w:rsidP="00596C1E">
      <w:pPr>
        <w:spacing w:line="360" w:lineRule="auto"/>
        <w:jc w:val="center"/>
      </w:pPr>
      <w:r w:rsidRPr="008C560C">
        <w:rPr>
          <w:rFonts w:ascii="Arial" w:hAnsi="Arial" w:cs="Arial"/>
          <w:b/>
          <w:sz w:val="18"/>
          <w:szCs w:val="18"/>
        </w:rPr>
        <w:t>RQE:</w:t>
      </w:r>
      <w:r>
        <w:rPr>
          <w:rFonts w:ascii="Arial" w:hAnsi="Arial" w:cs="Arial"/>
          <w:b/>
          <w:sz w:val="18"/>
          <w:szCs w:val="18"/>
        </w:rPr>
        <w:t xml:space="preserve"> </w:t>
      </w:r>
    </w:p>
    <w:sectPr w:rsidR="001063F0" w:rsidSect="00941435">
      <w:headerReference w:type="default" r:id="rId15"/>
      <w:footerReference w:type="default" r:id="rId16"/>
      <w:pgSz w:w="11906" w:h="16838"/>
      <w:pgMar w:top="1417"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52650" w14:textId="77777777" w:rsidR="004A7CBB" w:rsidRDefault="004A7CBB">
      <w:pPr>
        <w:spacing w:after="0" w:line="240" w:lineRule="auto"/>
      </w:pPr>
      <w:r>
        <w:separator/>
      </w:r>
    </w:p>
  </w:endnote>
  <w:endnote w:type="continuationSeparator" w:id="0">
    <w:p w14:paraId="0ADE9CF1" w14:textId="77777777" w:rsidR="004A7CBB" w:rsidRDefault="004A7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lliard BT">
    <w:altName w:val="Galliard B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197730"/>
      <w:docPartObj>
        <w:docPartGallery w:val="Page Numbers (Bottom of Page)"/>
        <w:docPartUnique/>
      </w:docPartObj>
    </w:sdtPr>
    <w:sdtEndPr/>
    <w:sdtContent>
      <w:sdt>
        <w:sdtPr>
          <w:id w:val="-1669238322"/>
          <w:docPartObj>
            <w:docPartGallery w:val="Page Numbers (Top of Page)"/>
            <w:docPartUnique/>
          </w:docPartObj>
        </w:sdtPr>
        <w:sdtEndPr/>
        <w:sdtContent>
          <w:p w14:paraId="1ED3AA05" w14:textId="77777777" w:rsidR="00852CC6" w:rsidRDefault="00852CC6">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sidR="000141FC">
              <w:rPr>
                <w:b/>
                <w:bCs/>
                <w:noProof/>
              </w:rPr>
              <w:t>14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141FC">
              <w:rPr>
                <w:b/>
                <w:bCs/>
                <w:noProof/>
              </w:rPr>
              <w:t>14</w:t>
            </w:r>
            <w:r>
              <w:rPr>
                <w:b/>
                <w:bCs/>
                <w:sz w:val="24"/>
                <w:szCs w:val="24"/>
              </w:rPr>
              <w:fldChar w:fldCharType="end"/>
            </w:r>
          </w:p>
        </w:sdtContent>
      </w:sdt>
    </w:sdtContent>
  </w:sdt>
  <w:p w14:paraId="392E4314" w14:textId="77777777" w:rsidR="00852CC6" w:rsidRDefault="00852CC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35FCE" w14:textId="77777777" w:rsidR="004A7CBB" w:rsidRDefault="004A7CBB">
      <w:pPr>
        <w:spacing w:after="0" w:line="240" w:lineRule="auto"/>
      </w:pPr>
      <w:r>
        <w:separator/>
      </w:r>
    </w:p>
  </w:footnote>
  <w:footnote w:type="continuationSeparator" w:id="0">
    <w:p w14:paraId="0ADA1E01" w14:textId="77777777" w:rsidR="004A7CBB" w:rsidRDefault="004A7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3C5B" w14:textId="23D8B3B2" w:rsidR="003726F0" w:rsidRDefault="00885C21" w:rsidP="00BC76DB">
    <w:pPr>
      <w:pStyle w:val="Cabealho"/>
      <w:jc w:val="center"/>
      <w:rPr>
        <w:rFonts w:ascii="Arial" w:hAnsi="Arial" w:cs="Arial"/>
        <w:b/>
        <w:sz w:val="28"/>
      </w:rPr>
    </w:pPr>
    <w:r>
      <w:rPr>
        <w:noProof/>
      </w:rPr>
      <w:drawing>
        <wp:anchor distT="0" distB="0" distL="114300" distR="114300" simplePos="0" relativeHeight="251659264" behindDoc="1" locked="0" layoutInCell="1" allowOverlap="1" wp14:anchorId="0C0E7BAC" wp14:editId="64060B99">
          <wp:simplePos x="0" y="0"/>
          <wp:positionH relativeFrom="margin">
            <wp:posOffset>5705475</wp:posOffset>
          </wp:positionH>
          <wp:positionV relativeFrom="paragraph">
            <wp:posOffset>-343535</wp:posOffset>
          </wp:positionV>
          <wp:extent cx="1009650" cy="495300"/>
          <wp:effectExtent l="0" t="0" r="0" b="0"/>
          <wp:wrapTight wrapText="bothSides">
            <wp:wrapPolygon edited="0">
              <wp:start x="0" y="0"/>
              <wp:lineTo x="0" y="20769"/>
              <wp:lineTo x="21192" y="20769"/>
              <wp:lineTo x="21192" y="0"/>
              <wp:lineTo x="0" y="0"/>
            </wp:wrapPolygon>
          </wp:wrapTight>
          <wp:docPr id="15187489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48994" name=""/>
                  <pic:cNvPicPr/>
                </pic:nvPicPr>
                <pic:blipFill>
                  <a:blip r:embed="rId1">
                    <a:extLst>
                      <a:ext uri="{28A0092B-C50C-407E-A947-70E740481C1C}">
                        <a14:useLocalDpi xmlns:a14="http://schemas.microsoft.com/office/drawing/2010/main" val="0"/>
                      </a:ext>
                    </a:extLst>
                  </a:blip>
                  <a:stretch>
                    <a:fillRect/>
                  </a:stretch>
                </pic:blipFill>
                <pic:spPr>
                  <a:xfrm>
                    <a:off x="0" y="0"/>
                    <a:ext cx="1009650" cy="495300"/>
                  </a:xfrm>
                  <a:prstGeom prst="rect">
                    <a:avLst/>
                  </a:prstGeom>
                </pic:spPr>
              </pic:pic>
            </a:graphicData>
          </a:graphic>
          <wp14:sizeRelH relativeFrom="page">
            <wp14:pctWidth>0</wp14:pctWidth>
          </wp14:sizeRelH>
          <wp14:sizeRelV relativeFrom="page">
            <wp14:pctHeight>0</wp14:pctHeight>
          </wp14:sizeRelV>
        </wp:anchor>
      </w:drawing>
    </w:r>
    <w:r w:rsidR="00BC76DB">
      <w:rPr>
        <w:rFonts w:ascii="Arial" w:hAnsi="Arial" w:cs="Arial"/>
        <w:b/>
        <w:sz w:val="28"/>
      </w:rPr>
      <w:t xml:space="preserve">PGS-MOS-EHS-208 - </w:t>
    </w:r>
    <w:r w:rsidR="003726F0">
      <w:rPr>
        <w:rFonts w:ascii="Arial" w:hAnsi="Arial" w:cs="Arial"/>
        <w:b/>
        <w:sz w:val="28"/>
      </w:rPr>
      <w:t xml:space="preserve">Anexo </w:t>
    </w:r>
    <w:r w:rsidR="00BC76DB">
      <w:rPr>
        <w:rFonts w:ascii="Arial" w:hAnsi="Arial" w:cs="Arial"/>
        <w:b/>
        <w:sz w:val="28"/>
      </w:rPr>
      <w:t>8</w:t>
    </w:r>
  </w:p>
  <w:p w14:paraId="5B5E060F" w14:textId="290A540B" w:rsidR="008F6DE0" w:rsidRDefault="003726F0" w:rsidP="005659FE">
    <w:pPr>
      <w:pStyle w:val="Cabealho"/>
      <w:jc w:val="center"/>
    </w:pPr>
    <w:r w:rsidRPr="0067622F">
      <w:rPr>
        <w:rFonts w:ascii="Arial" w:hAnsi="Arial" w:cs="Arial"/>
        <w:b/>
      </w:rPr>
      <w:t>CARACTERIZAÇÃO DO SERVIÇO DE SAÚDE OCUPACIONAL E MEDIDAS DE PROTEÇÃO AO RISCO BIOLÓGICO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1402"/>
    <w:multiLevelType w:val="hybridMultilevel"/>
    <w:tmpl w:val="D8302EEE"/>
    <w:lvl w:ilvl="0" w:tplc="E48ED626">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B14F8D"/>
    <w:multiLevelType w:val="hybridMultilevel"/>
    <w:tmpl w:val="3ED61F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80B7407"/>
    <w:multiLevelType w:val="hybridMultilevel"/>
    <w:tmpl w:val="0C90768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12F0299"/>
    <w:multiLevelType w:val="hybridMultilevel"/>
    <w:tmpl w:val="B936FD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77D45776"/>
    <w:multiLevelType w:val="hybridMultilevel"/>
    <w:tmpl w:val="3998D7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64BE9"/>
    <w:multiLevelType w:val="hybridMultilevel"/>
    <w:tmpl w:val="DD4C4D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18195313">
    <w:abstractNumId w:val="0"/>
  </w:num>
  <w:num w:numId="2" w16cid:durableId="613053454">
    <w:abstractNumId w:val="5"/>
  </w:num>
  <w:num w:numId="3" w16cid:durableId="1877619107">
    <w:abstractNumId w:val="4"/>
  </w:num>
  <w:num w:numId="4" w16cid:durableId="934092314">
    <w:abstractNumId w:val="1"/>
  </w:num>
  <w:num w:numId="5" w16cid:durableId="1876960123">
    <w:abstractNumId w:val="3"/>
  </w:num>
  <w:num w:numId="6" w16cid:durableId="909657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D2"/>
    <w:rsid w:val="00002D97"/>
    <w:rsid w:val="000030DB"/>
    <w:rsid w:val="00006590"/>
    <w:rsid w:val="000141FC"/>
    <w:rsid w:val="0003726A"/>
    <w:rsid w:val="00075B35"/>
    <w:rsid w:val="000953A7"/>
    <w:rsid w:val="00104FC7"/>
    <w:rsid w:val="001063F0"/>
    <w:rsid w:val="0011178E"/>
    <w:rsid w:val="00112F9B"/>
    <w:rsid w:val="00141BD2"/>
    <w:rsid w:val="00150C7A"/>
    <w:rsid w:val="00154E26"/>
    <w:rsid w:val="00163B77"/>
    <w:rsid w:val="00175E94"/>
    <w:rsid w:val="00193420"/>
    <w:rsid w:val="001B0E37"/>
    <w:rsid w:val="001E6DD2"/>
    <w:rsid w:val="001F0C85"/>
    <w:rsid w:val="00210070"/>
    <w:rsid w:val="00234A05"/>
    <w:rsid w:val="0026109E"/>
    <w:rsid w:val="00266D5C"/>
    <w:rsid w:val="002A2502"/>
    <w:rsid w:val="002B7FD7"/>
    <w:rsid w:val="002C68C5"/>
    <w:rsid w:val="002C7CEC"/>
    <w:rsid w:val="002D3129"/>
    <w:rsid w:val="002F0B99"/>
    <w:rsid w:val="002F4A23"/>
    <w:rsid w:val="00306466"/>
    <w:rsid w:val="00314B95"/>
    <w:rsid w:val="00335E0C"/>
    <w:rsid w:val="003726F0"/>
    <w:rsid w:val="00386197"/>
    <w:rsid w:val="003B179E"/>
    <w:rsid w:val="003E7138"/>
    <w:rsid w:val="00413366"/>
    <w:rsid w:val="0042447A"/>
    <w:rsid w:val="00464A9F"/>
    <w:rsid w:val="00483D81"/>
    <w:rsid w:val="004A0AD7"/>
    <w:rsid w:val="004A7CBB"/>
    <w:rsid w:val="004B75F8"/>
    <w:rsid w:val="004D7B27"/>
    <w:rsid w:val="00506D39"/>
    <w:rsid w:val="00531A1F"/>
    <w:rsid w:val="00532CCF"/>
    <w:rsid w:val="00535B93"/>
    <w:rsid w:val="005659FE"/>
    <w:rsid w:val="00586592"/>
    <w:rsid w:val="00587622"/>
    <w:rsid w:val="00591296"/>
    <w:rsid w:val="00596C1E"/>
    <w:rsid w:val="005A6BEC"/>
    <w:rsid w:val="005B0DD5"/>
    <w:rsid w:val="005B6813"/>
    <w:rsid w:val="005C187F"/>
    <w:rsid w:val="005D5BB5"/>
    <w:rsid w:val="005E4136"/>
    <w:rsid w:val="005F301E"/>
    <w:rsid w:val="005F33BF"/>
    <w:rsid w:val="0060238A"/>
    <w:rsid w:val="0063099F"/>
    <w:rsid w:val="0067622F"/>
    <w:rsid w:val="006B699A"/>
    <w:rsid w:val="006F32E3"/>
    <w:rsid w:val="0074010C"/>
    <w:rsid w:val="00742E43"/>
    <w:rsid w:val="0075319D"/>
    <w:rsid w:val="0077731D"/>
    <w:rsid w:val="007821D2"/>
    <w:rsid w:val="00792187"/>
    <w:rsid w:val="007A1BA5"/>
    <w:rsid w:val="007C14BA"/>
    <w:rsid w:val="007D3F4B"/>
    <w:rsid w:val="007D5CEE"/>
    <w:rsid w:val="007E7E32"/>
    <w:rsid w:val="007F05D6"/>
    <w:rsid w:val="007F4871"/>
    <w:rsid w:val="007F7F24"/>
    <w:rsid w:val="0080376A"/>
    <w:rsid w:val="00826224"/>
    <w:rsid w:val="00852CC6"/>
    <w:rsid w:val="0088413C"/>
    <w:rsid w:val="00885C21"/>
    <w:rsid w:val="00892831"/>
    <w:rsid w:val="008C462F"/>
    <w:rsid w:val="008C560C"/>
    <w:rsid w:val="008E767C"/>
    <w:rsid w:val="008F6DE0"/>
    <w:rsid w:val="00902819"/>
    <w:rsid w:val="009036D1"/>
    <w:rsid w:val="00920D22"/>
    <w:rsid w:val="00926EDD"/>
    <w:rsid w:val="009B1893"/>
    <w:rsid w:val="009B2AC8"/>
    <w:rsid w:val="009C5C99"/>
    <w:rsid w:val="009C7A1F"/>
    <w:rsid w:val="009E03BD"/>
    <w:rsid w:val="009E466A"/>
    <w:rsid w:val="009F1B50"/>
    <w:rsid w:val="009F3B12"/>
    <w:rsid w:val="00A6293B"/>
    <w:rsid w:val="00A66364"/>
    <w:rsid w:val="00A82EC3"/>
    <w:rsid w:val="00A8517E"/>
    <w:rsid w:val="00AA209D"/>
    <w:rsid w:val="00AB1921"/>
    <w:rsid w:val="00AE7E2F"/>
    <w:rsid w:val="00AF670C"/>
    <w:rsid w:val="00AF7ABE"/>
    <w:rsid w:val="00B07C83"/>
    <w:rsid w:val="00B10886"/>
    <w:rsid w:val="00B109C2"/>
    <w:rsid w:val="00B95779"/>
    <w:rsid w:val="00B95C5C"/>
    <w:rsid w:val="00BA1D05"/>
    <w:rsid w:val="00BC3076"/>
    <w:rsid w:val="00BC3F79"/>
    <w:rsid w:val="00BC76DB"/>
    <w:rsid w:val="00BD6041"/>
    <w:rsid w:val="00BE6E2D"/>
    <w:rsid w:val="00BF2671"/>
    <w:rsid w:val="00C0194D"/>
    <w:rsid w:val="00C079EC"/>
    <w:rsid w:val="00C24D10"/>
    <w:rsid w:val="00C71676"/>
    <w:rsid w:val="00CA1E3F"/>
    <w:rsid w:val="00CC5A5F"/>
    <w:rsid w:val="00CE0B90"/>
    <w:rsid w:val="00D162BD"/>
    <w:rsid w:val="00D24C88"/>
    <w:rsid w:val="00D41300"/>
    <w:rsid w:val="00D42940"/>
    <w:rsid w:val="00D51A1F"/>
    <w:rsid w:val="00D66A00"/>
    <w:rsid w:val="00D74615"/>
    <w:rsid w:val="00D864E4"/>
    <w:rsid w:val="00DA29DC"/>
    <w:rsid w:val="00DB546B"/>
    <w:rsid w:val="00DB5E76"/>
    <w:rsid w:val="00DC43CF"/>
    <w:rsid w:val="00DD2210"/>
    <w:rsid w:val="00DF2708"/>
    <w:rsid w:val="00E36483"/>
    <w:rsid w:val="00E75384"/>
    <w:rsid w:val="00EF2F4A"/>
    <w:rsid w:val="00F15F72"/>
    <w:rsid w:val="00F17C1C"/>
    <w:rsid w:val="00F4516A"/>
    <w:rsid w:val="00F46E83"/>
    <w:rsid w:val="00F5504E"/>
    <w:rsid w:val="00F97A52"/>
    <w:rsid w:val="00FC466F"/>
    <w:rsid w:val="00FF0999"/>
    <w:rsid w:val="00FF4C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4E5E"/>
  <w15:docId w15:val="{BC5B2B41-4650-41B7-BDD1-2F67EB1B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BD2"/>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41BD2"/>
    <w:pPr>
      <w:ind w:left="720"/>
      <w:contextualSpacing/>
    </w:pPr>
  </w:style>
  <w:style w:type="paragraph" w:customStyle="1" w:styleId="Pa1">
    <w:name w:val="Pa1"/>
    <w:basedOn w:val="Normal"/>
    <w:next w:val="Normal"/>
    <w:uiPriority w:val="99"/>
    <w:rsid w:val="00141BD2"/>
    <w:pPr>
      <w:autoSpaceDE w:val="0"/>
      <w:autoSpaceDN w:val="0"/>
      <w:adjustRightInd w:val="0"/>
      <w:spacing w:after="0" w:line="241" w:lineRule="atLeast"/>
    </w:pPr>
    <w:rPr>
      <w:rFonts w:ascii="Galliard BT" w:eastAsia="Times New Roman" w:hAnsi="Galliard BT"/>
      <w:sz w:val="24"/>
      <w:szCs w:val="24"/>
      <w:lang w:eastAsia="pt-BR"/>
    </w:rPr>
  </w:style>
  <w:style w:type="character" w:customStyle="1" w:styleId="A1">
    <w:name w:val="A1"/>
    <w:uiPriority w:val="99"/>
    <w:rsid w:val="00141BD2"/>
    <w:rPr>
      <w:rFonts w:cs="Galliard BT"/>
      <w:color w:val="000000"/>
      <w:sz w:val="20"/>
      <w:szCs w:val="20"/>
    </w:rPr>
  </w:style>
  <w:style w:type="paragraph" w:customStyle="1" w:styleId="Pa0">
    <w:name w:val="Pa0"/>
    <w:basedOn w:val="Normal"/>
    <w:next w:val="Normal"/>
    <w:uiPriority w:val="99"/>
    <w:rsid w:val="00141BD2"/>
    <w:pPr>
      <w:autoSpaceDE w:val="0"/>
      <w:autoSpaceDN w:val="0"/>
      <w:adjustRightInd w:val="0"/>
      <w:spacing w:after="0" w:line="241" w:lineRule="atLeast"/>
    </w:pPr>
    <w:rPr>
      <w:rFonts w:ascii="Galliard BT" w:eastAsia="Times New Roman" w:hAnsi="Galliard BT"/>
      <w:sz w:val="24"/>
      <w:szCs w:val="24"/>
      <w:lang w:eastAsia="pt-BR"/>
    </w:rPr>
  </w:style>
  <w:style w:type="paragraph" w:customStyle="1" w:styleId="Default">
    <w:name w:val="Default"/>
    <w:rsid w:val="00141BD2"/>
    <w:pPr>
      <w:autoSpaceDE w:val="0"/>
      <w:autoSpaceDN w:val="0"/>
      <w:adjustRightInd w:val="0"/>
      <w:spacing w:after="0" w:line="240" w:lineRule="auto"/>
    </w:pPr>
    <w:rPr>
      <w:rFonts w:ascii="Galliard BT" w:eastAsia="Calibri" w:hAnsi="Galliard BT" w:cs="Galliard BT"/>
      <w:color w:val="000000"/>
      <w:sz w:val="24"/>
      <w:szCs w:val="24"/>
    </w:rPr>
  </w:style>
  <w:style w:type="paragraph" w:customStyle="1" w:styleId="Pa4">
    <w:name w:val="Pa4"/>
    <w:basedOn w:val="Default"/>
    <w:next w:val="Default"/>
    <w:uiPriority w:val="99"/>
    <w:rsid w:val="00141BD2"/>
    <w:pPr>
      <w:spacing w:line="201" w:lineRule="atLeast"/>
    </w:pPr>
    <w:rPr>
      <w:rFonts w:cs="Times New Roman"/>
      <w:color w:val="auto"/>
    </w:rPr>
  </w:style>
  <w:style w:type="paragraph" w:styleId="Cabealho">
    <w:name w:val="header"/>
    <w:basedOn w:val="Normal"/>
    <w:link w:val="CabealhoChar"/>
    <w:uiPriority w:val="99"/>
    <w:unhideWhenUsed/>
    <w:rsid w:val="00141BD2"/>
    <w:pPr>
      <w:tabs>
        <w:tab w:val="center" w:pos="4252"/>
        <w:tab w:val="right" w:pos="8504"/>
      </w:tabs>
    </w:pPr>
  </w:style>
  <w:style w:type="character" w:customStyle="1" w:styleId="CabealhoChar">
    <w:name w:val="Cabeçalho Char"/>
    <w:basedOn w:val="Fontepargpadro"/>
    <w:link w:val="Cabealho"/>
    <w:uiPriority w:val="99"/>
    <w:rsid w:val="00141BD2"/>
    <w:rPr>
      <w:rFonts w:ascii="Calibri" w:eastAsia="Calibri" w:hAnsi="Calibri" w:cs="Times New Roman"/>
    </w:rPr>
  </w:style>
  <w:style w:type="paragraph" w:styleId="Textodebalo">
    <w:name w:val="Balloon Text"/>
    <w:basedOn w:val="Normal"/>
    <w:link w:val="TextodebaloChar"/>
    <w:uiPriority w:val="99"/>
    <w:semiHidden/>
    <w:unhideWhenUsed/>
    <w:rsid w:val="00141BD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41BD2"/>
    <w:rPr>
      <w:rFonts w:ascii="Tahoma" w:eastAsia="Calibri" w:hAnsi="Tahoma" w:cs="Tahoma"/>
      <w:sz w:val="16"/>
      <w:szCs w:val="16"/>
    </w:rPr>
  </w:style>
  <w:style w:type="paragraph" w:styleId="Rodap">
    <w:name w:val="footer"/>
    <w:basedOn w:val="Normal"/>
    <w:link w:val="RodapChar"/>
    <w:uiPriority w:val="99"/>
    <w:unhideWhenUsed/>
    <w:rsid w:val="00852CC6"/>
    <w:pPr>
      <w:tabs>
        <w:tab w:val="center" w:pos="4252"/>
        <w:tab w:val="right" w:pos="8504"/>
      </w:tabs>
      <w:spacing w:after="0" w:line="240" w:lineRule="auto"/>
    </w:pPr>
  </w:style>
  <w:style w:type="character" w:customStyle="1" w:styleId="RodapChar">
    <w:name w:val="Rodapé Char"/>
    <w:basedOn w:val="Fontepargpadro"/>
    <w:link w:val="Rodap"/>
    <w:uiPriority w:val="99"/>
    <w:rsid w:val="00852CC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070895">
      <w:bodyDiv w:val="1"/>
      <w:marLeft w:val="0"/>
      <w:marRight w:val="0"/>
      <w:marTop w:val="0"/>
      <w:marBottom w:val="0"/>
      <w:divBdr>
        <w:top w:val="none" w:sz="0" w:space="0" w:color="auto"/>
        <w:left w:val="none" w:sz="0" w:space="0" w:color="auto"/>
        <w:bottom w:val="none" w:sz="0" w:space="0" w:color="auto"/>
        <w:right w:val="none" w:sz="0" w:space="0" w:color="auto"/>
      </w:divBdr>
    </w:div>
    <w:div w:id="201321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299600-FC6E-45FE-B97B-102DE493D372}" type="doc">
      <dgm:prSet loTypeId="urn:microsoft.com/office/officeart/2005/8/layout/vList5" loCatId="list" qsTypeId="urn:microsoft.com/office/officeart/2005/8/quickstyle/simple1" qsCatId="simple" csTypeId="urn:microsoft.com/office/officeart/2005/8/colors/accent5_2" csCatId="accent5" phldr="1"/>
      <dgm:spPr/>
      <dgm:t>
        <a:bodyPr/>
        <a:lstStyle/>
        <a:p>
          <a:endParaRPr lang="pt-BR"/>
        </a:p>
      </dgm:t>
    </dgm:pt>
    <dgm:pt modelId="{C7A69937-998D-4AD5-AF08-23E5172A82D0}">
      <dgm:prSet phldrT="[Texto]"/>
      <dgm:spPr/>
      <dgm:t>
        <a:bodyPr/>
        <a:lstStyle/>
        <a:p>
          <a:r>
            <a:rPr lang="pt-BR"/>
            <a:t>Clínica de Fraturas Uberaba</a:t>
          </a:r>
        </a:p>
      </dgm:t>
    </dgm:pt>
    <dgm:pt modelId="{BE3B374F-F4D0-4D66-A60B-9BAAF5F9DEDA}" type="parTrans" cxnId="{2799F7E4-6863-4F6E-9EFC-4658ADACE365}">
      <dgm:prSet/>
      <dgm:spPr/>
      <dgm:t>
        <a:bodyPr/>
        <a:lstStyle/>
        <a:p>
          <a:endParaRPr lang="pt-BR"/>
        </a:p>
      </dgm:t>
    </dgm:pt>
    <dgm:pt modelId="{1E9711D3-E840-4389-9AEE-BACE52FD6C61}" type="sibTrans" cxnId="{2799F7E4-6863-4F6E-9EFC-4658ADACE365}">
      <dgm:prSet/>
      <dgm:spPr/>
      <dgm:t>
        <a:bodyPr/>
        <a:lstStyle/>
        <a:p>
          <a:endParaRPr lang="pt-BR"/>
        </a:p>
      </dgm:t>
    </dgm:pt>
    <dgm:pt modelId="{5A8C4646-CCA3-4671-9689-35CECFF2F8F7}">
      <dgm:prSet phldrT="[Texto]" custT="1"/>
      <dgm:spPr/>
      <dgm:t>
        <a:bodyPr/>
        <a:lstStyle/>
        <a:p>
          <a:r>
            <a:rPr lang="pt-BR" sz="1000"/>
            <a:t>Av. Guilherme Ferreira, 402 - Centro</a:t>
          </a:r>
        </a:p>
      </dgm:t>
    </dgm:pt>
    <dgm:pt modelId="{AF0BDF6A-E7B9-496C-AEB5-9A2D98F5FA5C}" type="parTrans" cxnId="{D65176AA-60EF-49B4-B7BB-A85478B60502}">
      <dgm:prSet/>
      <dgm:spPr/>
      <dgm:t>
        <a:bodyPr/>
        <a:lstStyle/>
        <a:p>
          <a:endParaRPr lang="pt-BR"/>
        </a:p>
      </dgm:t>
    </dgm:pt>
    <dgm:pt modelId="{747969A6-F0CE-4772-9938-B9F04D4FE292}" type="sibTrans" cxnId="{D65176AA-60EF-49B4-B7BB-A85478B60502}">
      <dgm:prSet/>
      <dgm:spPr/>
      <dgm:t>
        <a:bodyPr/>
        <a:lstStyle/>
        <a:p>
          <a:endParaRPr lang="pt-BR"/>
        </a:p>
      </dgm:t>
    </dgm:pt>
    <dgm:pt modelId="{B158D134-10A9-4238-8837-8A4A948584FA}">
      <dgm:prSet phldrT="[Texto]" custT="1"/>
      <dgm:spPr/>
      <dgm:t>
        <a:bodyPr/>
        <a:lstStyle/>
        <a:p>
          <a:r>
            <a:rPr lang="pt-BR" sz="1000"/>
            <a:t>Telefone: 3316-0500     Distância: 29,6 Km 0 leito UTI</a:t>
          </a:r>
        </a:p>
      </dgm:t>
    </dgm:pt>
    <dgm:pt modelId="{59DA8731-7C5A-4121-A5CB-279DE90A2385}" type="parTrans" cxnId="{D95700B4-B614-4FFD-B873-159E3430B4B7}">
      <dgm:prSet/>
      <dgm:spPr/>
      <dgm:t>
        <a:bodyPr/>
        <a:lstStyle/>
        <a:p>
          <a:endParaRPr lang="pt-BR"/>
        </a:p>
      </dgm:t>
    </dgm:pt>
    <dgm:pt modelId="{81047632-E728-4560-A0BD-0729F92A3E28}" type="sibTrans" cxnId="{D95700B4-B614-4FFD-B873-159E3430B4B7}">
      <dgm:prSet/>
      <dgm:spPr/>
      <dgm:t>
        <a:bodyPr/>
        <a:lstStyle/>
        <a:p>
          <a:endParaRPr lang="pt-BR"/>
        </a:p>
      </dgm:t>
    </dgm:pt>
    <dgm:pt modelId="{CE9A18F2-DD32-498D-834A-02A65467E5FB}">
      <dgm:prSet phldrT="[Texto]"/>
      <dgm:spPr/>
      <dgm:t>
        <a:bodyPr/>
        <a:lstStyle/>
        <a:p>
          <a:r>
            <a:rPr lang="pt-BR"/>
            <a:t>Clínica Ox</a:t>
          </a:r>
        </a:p>
      </dgm:t>
    </dgm:pt>
    <dgm:pt modelId="{ED013EF0-4167-4EE9-A093-0915CFEE8652}" type="parTrans" cxnId="{E8342AB1-B1BC-415C-A852-2314686F9F96}">
      <dgm:prSet/>
      <dgm:spPr/>
      <dgm:t>
        <a:bodyPr/>
        <a:lstStyle/>
        <a:p>
          <a:endParaRPr lang="pt-BR"/>
        </a:p>
      </dgm:t>
    </dgm:pt>
    <dgm:pt modelId="{BB574BF3-A007-4F12-9F0A-8D6BDC062A2A}" type="sibTrans" cxnId="{E8342AB1-B1BC-415C-A852-2314686F9F96}">
      <dgm:prSet/>
      <dgm:spPr/>
      <dgm:t>
        <a:bodyPr/>
        <a:lstStyle/>
        <a:p>
          <a:endParaRPr lang="pt-BR"/>
        </a:p>
      </dgm:t>
    </dgm:pt>
    <dgm:pt modelId="{FCE8AB42-052E-47D9-A5C9-7BE639BA2B5F}">
      <dgm:prSet phldrT="[Texto]" custT="1"/>
      <dgm:spPr/>
      <dgm:t>
        <a:bodyPr/>
        <a:lstStyle/>
        <a:p>
          <a:r>
            <a:rPr lang="pt-BR" sz="1000"/>
            <a:t>Rua do Carmo, 378 - Abadia</a:t>
          </a:r>
        </a:p>
      </dgm:t>
    </dgm:pt>
    <dgm:pt modelId="{B9710737-43FC-4D27-B200-BC95E2D4AF6E}" type="parTrans" cxnId="{0CCC2844-0DBC-48D0-9F39-74464FCDCB10}">
      <dgm:prSet/>
      <dgm:spPr/>
      <dgm:t>
        <a:bodyPr/>
        <a:lstStyle/>
        <a:p>
          <a:endParaRPr lang="pt-BR"/>
        </a:p>
      </dgm:t>
    </dgm:pt>
    <dgm:pt modelId="{A17F3DAF-DEDD-4AB0-A957-98DF996DFCD8}" type="sibTrans" cxnId="{0CCC2844-0DBC-48D0-9F39-74464FCDCB10}">
      <dgm:prSet/>
      <dgm:spPr/>
      <dgm:t>
        <a:bodyPr/>
        <a:lstStyle/>
        <a:p>
          <a:endParaRPr lang="pt-BR"/>
        </a:p>
      </dgm:t>
    </dgm:pt>
    <dgm:pt modelId="{9656FDF4-6B4E-4F69-B027-81460889912E}">
      <dgm:prSet phldrT="[Texto]" custT="1"/>
      <dgm:spPr/>
      <dgm:t>
        <a:bodyPr/>
        <a:lstStyle/>
        <a:p>
          <a:r>
            <a:rPr lang="pt-BR" sz="1000"/>
            <a:t>Telefone: 3333-9765     Distância: 29,3 km  0 leito UTI</a:t>
          </a:r>
        </a:p>
      </dgm:t>
    </dgm:pt>
    <dgm:pt modelId="{01DA4B9B-A8DC-4545-92D9-68A613413910}" type="parTrans" cxnId="{E7A3CCBC-D3C7-476A-A9EC-DF7F5AC0BE18}">
      <dgm:prSet/>
      <dgm:spPr/>
      <dgm:t>
        <a:bodyPr/>
        <a:lstStyle/>
        <a:p>
          <a:endParaRPr lang="pt-BR"/>
        </a:p>
      </dgm:t>
    </dgm:pt>
    <dgm:pt modelId="{198E963D-84FB-4E44-BEB6-A31EB2808B4B}" type="sibTrans" cxnId="{E7A3CCBC-D3C7-476A-A9EC-DF7F5AC0BE18}">
      <dgm:prSet/>
      <dgm:spPr/>
      <dgm:t>
        <a:bodyPr/>
        <a:lstStyle/>
        <a:p>
          <a:endParaRPr lang="pt-BR"/>
        </a:p>
      </dgm:t>
    </dgm:pt>
    <dgm:pt modelId="{B08335A1-7AE0-4696-AA23-95D37C01C412}">
      <dgm:prSet phldrT="[Texto]"/>
      <dgm:spPr/>
      <dgm:t>
        <a:bodyPr/>
        <a:lstStyle/>
        <a:p>
          <a:r>
            <a:rPr lang="pt-BR"/>
            <a:t>Hospital Escola</a:t>
          </a:r>
        </a:p>
      </dgm:t>
    </dgm:pt>
    <dgm:pt modelId="{D1687C5D-C6A5-4CE5-BDAF-F76BD7605C7E}" type="parTrans" cxnId="{6A6D17EC-CC8F-4F5A-9BC8-AA5CBB01FF0C}">
      <dgm:prSet/>
      <dgm:spPr/>
      <dgm:t>
        <a:bodyPr/>
        <a:lstStyle/>
        <a:p>
          <a:endParaRPr lang="pt-BR"/>
        </a:p>
      </dgm:t>
    </dgm:pt>
    <dgm:pt modelId="{8EF0ABB4-1220-478A-BDDF-4912FE6484C5}" type="sibTrans" cxnId="{6A6D17EC-CC8F-4F5A-9BC8-AA5CBB01FF0C}">
      <dgm:prSet/>
      <dgm:spPr/>
      <dgm:t>
        <a:bodyPr/>
        <a:lstStyle/>
        <a:p>
          <a:endParaRPr lang="pt-BR"/>
        </a:p>
      </dgm:t>
    </dgm:pt>
    <dgm:pt modelId="{E01053EB-E8DE-47A1-98E7-CF6B1EBAB5AD}">
      <dgm:prSet phldrT="[Texto]" custT="1"/>
      <dgm:spPr/>
      <dgm:t>
        <a:bodyPr/>
        <a:lstStyle/>
        <a:p>
          <a:r>
            <a:rPr lang="pt-BR" sz="1000"/>
            <a:t>Rua Getúlio Guaritá,330 - Abadia</a:t>
          </a:r>
        </a:p>
      </dgm:t>
    </dgm:pt>
    <dgm:pt modelId="{BF9B13F4-441A-428C-AE4E-EF5FAE60029C}" type="parTrans" cxnId="{D6D266F0-41C7-4E20-8BF8-2003FE9C4F36}">
      <dgm:prSet/>
      <dgm:spPr/>
      <dgm:t>
        <a:bodyPr/>
        <a:lstStyle/>
        <a:p>
          <a:endParaRPr lang="pt-BR"/>
        </a:p>
      </dgm:t>
    </dgm:pt>
    <dgm:pt modelId="{6D01DE51-933B-4675-89F2-6AC2E8A59473}" type="sibTrans" cxnId="{D6D266F0-41C7-4E20-8BF8-2003FE9C4F36}">
      <dgm:prSet/>
      <dgm:spPr/>
      <dgm:t>
        <a:bodyPr/>
        <a:lstStyle/>
        <a:p>
          <a:endParaRPr lang="pt-BR"/>
        </a:p>
      </dgm:t>
    </dgm:pt>
    <dgm:pt modelId="{0544E982-DD62-484F-B0E1-0EC37E859E8E}">
      <dgm:prSet phldrT="[Texto]" custT="1"/>
      <dgm:spPr/>
      <dgm:t>
        <a:bodyPr/>
        <a:lstStyle/>
        <a:p>
          <a:r>
            <a:rPr lang="pt-BR" sz="1000"/>
            <a:t>Av. Santos Dumont, 409 - Centro</a:t>
          </a:r>
        </a:p>
      </dgm:t>
    </dgm:pt>
    <dgm:pt modelId="{4C09D86A-AC68-4D45-A82E-0486259B7CFF}" type="parTrans" cxnId="{FC8BC2DD-5E82-4000-886C-27E77950610F}">
      <dgm:prSet/>
      <dgm:spPr/>
      <dgm:t>
        <a:bodyPr/>
        <a:lstStyle/>
        <a:p>
          <a:endParaRPr lang="pt-BR"/>
        </a:p>
      </dgm:t>
    </dgm:pt>
    <dgm:pt modelId="{7F538848-D187-4B60-94AB-DB254A1ACE29}" type="sibTrans" cxnId="{FC8BC2DD-5E82-4000-886C-27E77950610F}">
      <dgm:prSet/>
      <dgm:spPr/>
      <dgm:t>
        <a:bodyPr/>
        <a:lstStyle/>
        <a:p>
          <a:endParaRPr lang="pt-BR"/>
        </a:p>
      </dgm:t>
    </dgm:pt>
    <dgm:pt modelId="{44DD5910-35A1-45C8-92AC-D462BB696814}">
      <dgm:prSet phldrT="[Texto]" custT="1"/>
      <dgm:spPr/>
      <dgm:t>
        <a:bodyPr/>
        <a:lstStyle/>
        <a:p>
          <a:r>
            <a:rPr lang="pt-BR" sz="1000"/>
            <a:t>Telefone: 3334-8400     Distância: 30,2 km  0 leito UTI</a:t>
          </a:r>
        </a:p>
      </dgm:t>
    </dgm:pt>
    <dgm:pt modelId="{A48D7F40-66D5-4F16-8296-9001206A2867}" type="parTrans" cxnId="{2EA118B4-BD74-4180-830E-A24FFFB3FF3F}">
      <dgm:prSet/>
      <dgm:spPr/>
      <dgm:t>
        <a:bodyPr/>
        <a:lstStyle/>
        <a:p>
          <a:endParaRPr lang="pt-BR"/>
        </a:p>
      </dgm:t>
    </dgm:pt>
    <dgm:pt modelId="{10CED719-461A-4F0E-B745-1A38F2409F85}" type="sibTrans" cxnId="{2EA118B4-BD74-4180-830E-A24FFFB3FF3F}">
      <dgm:prSet/>
      <dgm:spPr/>
      <dgm:t>
        <a:bodyPr/>
        <a:lstStyle/>
        <a:p>
          <a:endParaRPr lang="pt-BR"/>
        </a:p>
      </dgm:t>
    </dgm:pt>
    <dgm:pt modelId="{5B0AAE2C-EB85-441C-8076-0678347DDB8A}">
      <dgm:prSet phldrT="[Texto]" custT="1"/>
      <dgm:spPr/>
      <dgm:t>
        <a:bodyPr/>
        <a:lstStyle/>
        <a:p>
          <a:r>
            <a:rPr lang="pt-BR" sz="1000"/>
            <a:t>Rua Constituição, 751 - Abadia</a:t>
          </a:r>
        </a:p>
      </dgm:t>
    </dgm:pt>
    <dgm:pt modelId="{310E56C3-2754-4811-B010-9E1D36EB8823}" type="parTrans" cxnId="{CAB295C0-EED6-4E88-BB89-E0DF090BC73C}">
      <dgm:prSet/>
      <dgm:spPr/>
      <dgm:t>
        <a:bodyPr/>
        <a:lstStyle/>
        <a:p>
          <a:endParaRPr lang="pt-BR"/>
        </a:p>
      </dgm:t>
    </dgm:pt>
    <dgm:pt modelId="{AAA60497-C7DB-400F-8F4C-62B55AEFF992}" type="sibTrans" cxnId="{CAB295C0-EED6-4E88-BB89-E0DF090BC73C}">
      <dgm:prSet/>
      <dgm:spPr/>
      <dgm:t>
        <a:bodyPr/>
        <a:lstStyle/>
        <a:p>
          <a:endParaRPr lang="pt-BR"/>
        </a:p>
      </dgm:t>
    </dgm:pt>
    <dgm:pt modelId="{D3B9873E-C73D-44F3-A8EA-A42A93800EE3}">
      <dgm:prSet phldrT="[Texto]" custT="1"/>
      <dgm:spPr/>
      <dgm:t>
        <a:bodyPr/>
        <a:lstStyle/>
        <a:p>
          <a:r>
            <a:rPr lang="pt-BR" sz="1000"/>
            <a:t>Telefone: 3318-9200     Distância 29,7 km  10 leitos UTI</a:t>
          </a:r>
        </a:p>
      </dgm:t>
    </dgm:pt>
    <dgm:pt modelId="{C6DDD282-F4F2-43AB-A15C-71A4F076EE72}" type="parTrans" cxnId="{D224188B-A8AB-440B-A869-C6FF1AA9EE38}">
      <dgm:prSet/>
      <dgm:spPr/>
      <dgm:t>
        <a:bodyPr/>
        <a:lstStyle/>
        <a:p>
          <a:endParaRPr lang="pt-BR"/>
        </a:p>
      </dgm:t>
    </dgm:pt>
    <dgm:pt modelId="{7CA3FB6F-5FF8-4755-84E6-B9366F6E44BA}" type="sibTrans" cxnId="{D224188B-A8AB-440B-A869-C6FF1AA9EE38}">
      <dgm:prSet/>
      <dgm:spPr/>
      <dgm:t>
        <a:bodyPr/>
        <a:lstStyle/>
        <a:p>
          <a:endParaRPr lang="pt-BR"/>
        </a:p>
      </dgm:t>
    </dgm:pt>
    <dgm:pt modelId="{41A2F912-9D9F-4F0D-8A5A-9386AB122E6D}">
      <dgm:prSet phldrT="[Texto]"/>
      <dgm:spPr/>
      <dgm:t>
        <a:bodyPr/>
        <a:lstStyle/>
        <a:p>
          <a:r>
            <a:rPr lang="pt-BR"/>
            <a:t>Hospital São Marcos</a:t>
          </a:r>
        </a:p>
      </dgm:t>
    </dgm:pt>
    <dgm:pt modelId="{D89440D0-C3F6-400A-9E9E-84B03396C5D1}" type="parTrans" cxnId="{23BA1D52-64B1-4A59-ADF7-8EB279E58B0B}">
      <dgm:prSet/>
      <dgm:spPr/>
      <dgm:t>
        <a:bodyPr/>
        <a:lstStyle/>
        <a:p>
          <a:endParaRPr lang="pt-BR"/>
        </a:p>
      </dgm:t>
    </dgm:pt>
    <dgm:pt modelId="{6815BAE0-4C71-411C-B885-63E2D3A991F5}" type="sibTrans" cxnId="{23BA1D52-64B1-4A59-ADF7-8EB279E58B0B}">
      <dgm:prSet/>
      <dgm:spPr/>
      <dgm:t>
        <a:bodyPr/>
        <a:lstStyle/>
        <a:p>
          <a:endParaRPr lang="pt-BR"/>
        </a:p>
      </dgm:t>
    </dgm:pt>
    <dgm:pt modelId="{6A07CC73-BD0C-437A-8427-855AA9A51D79}">
      <dgm:prSet phldrT="[Texto]" custT="1"/>
      <dgm:spPr/>
      <dgm:t>
        <a:bodyPr/>
        <a:lstStyle/>
        <a:p>
          <a:r>
            <a:rPr lang="pt-BR" sz="1000"/>
            <a:t>Av. Santos Dumont, 2191 - Santa Maria</a:t>
          </a:r>
        </a:p>
      </dgm:t>
    </dgm:pt>
    <dgm:pt modelId="{B7381E98-FA1A-4192-BE7F-D6A32FD13E2A}" type="sibTrans" cxnId="{61079803-2333-41F7-9B8C-EF189D8338EB}">
      <dgm:prSet/>
      <dgm:spPr/>
      <dgm:t>
        <a:bodyPr/>
        <a:lstStyle/>
        <a:p>
          <a:endParaRPr lang="pt-BR"/>
        </a:p>
      </dgm:t>
    </dgm:pt>
    <dgm:pt modelId="{5D239D04-D556-46E5-8BB4-E1C940DEA173}" type="parTrans" cxnId="{61079803-2333-41F7-9B8C-EF189D8338EB}">
      <dgm:prSet/>
      <dgm:spPr/>
      <dgm:t>
        <a:bodyPr/>
        <a:lstStyle/>
        <a:p>
          <a:endParaRPr lang="pt-BR"/>
        </a:p>
      </dgm:t>
    </dgm:pt>
    <dgm:pt modelId="{A819B0A4-99FF-4528-A2D0-0A220F04BE52}">
      <dgm:prSet phldrT="[Texto]" custT="1"/>
      <dgm:spPr/>
      <dgm:t>
        <a:bodyPr/>
        <a:lstStyle/>
        <a:p>
          <a:r>
            <a:rPr lang="pt-BR" sz="1000"/>
            <a:t>Telefone: 2103-6100     Distância: 29,2 km 10 leitos UTI</a:t>
          </a:r>
        </a:p>
      </dgm:t>
    </dgm:pt>
    <dgm:pt modelId="{44E1B2B2-7793-4E89-BFC4-D09620534D12}" type="sibTrans" cxnId="{F3E24207-803C-4C9B-B7DD-DA13C7174960}">
      <dgm:prSet/>
      <dgm:spPr/>
      <dgm:t>
        <a:bodyPr/>
        <a:lstStyle/>
        <a:p>
          <a:endParaRPr lang="pt-BR"/>
        </a:p>
      </dgm:t>
    </dgm:pt>
    <dgm:pt modelId="{7A5BB0EB-67B5-4532-A3F7-D46334EA68C5}" type="parTrans" cxnId="{F3E24207-803C-4C9B-B7DD-DA13C7174960}">
      <dgm:prSet/>
      <dgm:spPr/>
      <dgm:t>
        <a:bodyPr/>
        <a:lstStyle/>
        <a:p>
          <a:endParaRPr lang="pt-BR"/>
        </a:p>
      </dgm:t>
    </dgm:pt>
    <dgm:pt modelId="{28FAB671-9B53-4F49-B3C2-70FABEA3FFA7}">
      <dgm:prSet phldrT="[Texto]" custT="1"/>
      <dgm:spPr/>
      <dgm:t>
        <a:bodyPr/>
        <a:lstStyle/>
        <a:p>
          <a:r>
            <a:rPr lang="pt-BR" sz="1000"/>
            <a:t>Telefone: 3318-5530     Distância: 29,9 km  10 leitos UTI</a:t>
          </a:r>
        </a:p>
      </dgm:t>
    </dgm:pt>
    <dgm:pt modelId="{677D039E-A15F-4D1F-AC4D-CECE13373A2A}" type="sibTrans" cxnId="{36CFE9B3-68C0-4EFD-B144-8A8F52EE0ACF}">
      <dgm:prSet/>
      <dgm:spPr/>
      <dgm:t>
        <a:bodyPr/>
        <a:lstStyle/>
        <a:p>
          <a:endParaRPr lang="pt-BR"/>
        </a:p>
      </dgm:t>
    </dgm:pt>
    <dgm:pt modelId="{ED64D88B-F064-47C7-BDA7-38E73E66716B}" type="parTrans" cxnId="{36CFE9B3-68C0-4EFD-B144-8A8F52EE0ACF}">
      <dgm:prSet/>
      <dgm:spPr/>
      <dgm:t>
        <a:bodyPr/>
        <a:lstStyle/>
        <a:p>
          <a:endParaRPr lang="pt-BR"/>
        </a:p>
      </dgm:t>
    </dgm:pt>
    <dgm:pt modelId="{A722C3B8-6DC7-46FA-9562-03EB7E7BBFF0}">
      <dgm:prSet phldrT="[Texto]"/>
      <dgm:spPr/>
      <dgm:t>
        <a:bodyPr/>
        <a:lstStyle/>
        <a:p>
          <a:r>
            <a:rPr lang="pt-BR"/>
            <a:t>Hospital  Unimed</a:t>
          </a:r>
        </a:p>
      </dgm:t>
    </dgm:pt>
    <dgm:pt modelId="{DE319991-02E8-4D38-9452-165CE13FE1D5}" type="sibTrans" cxnId="{CC7F0895-7636-43FD-91F2-D608BC23337D}">
      <dgm:prSet/>
      <dgm:spPr/>
      <dgm:t>
        <a:bodyPr/>
        <a:lstStyle/>
        <a:p>
          <a:endParaRPr lang="pt-BR"/>
        </a:p>
      </dgm:t>
    </dgm:pt>
    <dgm:pt modelId="{C684FCD8-BBF8-45BC-B475-E23BBCD95BD4}" type="parTrans" cxnId="{CC7F0895-7636-43FD-91F2-D608BC23337D}">
      <dgm:prSet/>
      <dgm:spPr/>
      <dgm:t>
        <a:bodyPr/>
        <a:lstStyle/>
        <a:p>
          <a:endParaRPr lang="pt-BR"/>
        </a:p>
      </dgm:t>
    </dgm:pt>
    <dgm:pt modelId="{CE26A13F-895B-4BF5-9669-75E521ECCC2B}">
      <dgm:prSet phldrT="[Texto]"/>
      <dgm:spPr/>
      <dgm:t>
        <a:bodyPr/>
        <a:lstStyle/>
        <a:p>
          <a:r>
            <a:rPr lang="pt-BR"/>
            <a:t>Hospital Santa Lúcia</a:t>
          </a:r>
        </a:p>
      </dgm:t>
    </dgm:pt>
    <dgm:pt modelId="{E0FEE583-22C4-41F7-878D-8287D7D39AB6}" type="sibTrans" cxnId="{801B0564-533F-4A36-9104-36261EA4152E}">
      <dgm:prSet/>
      <dgm:spPr/>
      <dgm:t>
        <a:bodyPr/>
        <a:lstStyle/>
        <a:p>
          <a:endParaRPr lang="pt-BR"/>
        </a:p>
      </dgm:t>
    </dgm:pt>
    <dgm:pt modelId="{174A4096-621A-4630-9310-3A7565BF37C0}" type="parTrans" cxnId="{801B0564-533F-4A36-9104-36261EA4152E}">
      <dgm:prSet/>
      <dgm:spPr/>
      <dgm:t>
        <a:bodyPr/>
        <a:lstStyle/>
        <a:p>
          <a:endParaRPr lang="pt-BR"/>
        </a:p>
      </dgm:t>
    </dgm:pt>
    <dgm:pt modelId="{B60FBD5C-3727-4AC3-87BD-AA068A271B3C}" type="pres">
      <dgm:prSet presAssocID="{A1299600-FC6E-45FE-B97B-102DE493D372}" presName="Name0" presStyleCnt="0">
        <dgm:presLayoutVars>
          <dgm:dir/>
          <dgm:animLvl val="lvl"/>
          <dgm:resizeHandles val="exact"/>
        </dgm:presLayoutVars>
      </dgm:prSet>
      <dgm:spPr/>
    </dgm:pt>
    <dgm:pt modelId="{42A01DB7-CCC0-4DEE-8D6E-567ABE667362}" type="pres">
      <dgm:prSet presAssocID="{C7A69937-998D-4AD5-AF08-23E5172A82D0}" presName="linNode" presStyleCnt="0"/>
      <dgm:spPr/>
    </dgm:pt>
    <dgm:pt modelId="{2110977E-CB72-4D8B-AA22-194893659913}" type="pres">
      <dgm:prSet presAssocID="{C7A69937-998D-4AD5-AF08-23E5172A82D0}" presName="parentText" presStyleLbl="node1" presStyleIdx="0" presStyleCnt="6">
        <dgm:presLayoutVars>
          <dgm:chMax val="1"/>
          <dgm:bulletEnabled val="1"/>
        </dgm:presLayoutVars>
      </dgm:prSet>
      <dgm:spPr/>
    </dgm:pt>
    <dgm:pt modelId="{2F956982-8D5C-40C4-8195-B56439AD156B}" type="pres">
      <dgm:prSet presAssocID="{C7A69937-998D-4AD5-AF08-23E5172A82D0}" presName="descendantText" presStyleLbl="alignAccFollowNode1" presStyleIdx="0" presStyleCnt="6">
        <dgm:presLayoutVars>
          <dgm:bulletEnabled val="1"/>
        </dgm:presLayoutVars>
      </dgm:prSet>
      <dgm:spPr/>
    </dgm:pt>
    <dgm:pt modelId="{2F1C524B-7F67-4E97-8DA5-E195EBDB47A7}" type="pres">
      <dgm:prSet presAssocID="{1E9711D3-E840-4389-9AEE-BACE52FD6C61}" presName="sp" presStyleCnt="0"/>
      <dgm:spPr/>
    </dgm:pt>
    <dgm:pt modelId="{72BF8D48-AB2B-48F9-A5E8-BD9DC1B0CAAA}" type="pres">
      <dgm:prSet presAssocID="{CE9A18F2-DD32-498D-834A-02A65467E5FB}" presName="linNode" presStyleCnt="0"/>
      <dgm:spPr/>
    </dgm:pt>
    <dgm:pt modelId="{5A949CAA-16B4-47CA-8350-739960DA2F53}" type="pres">
      <dgm:prSet presAssocID="{CE9A18F2-DD32-498D-834A-02A65467E5FB}" presName="parentText" presStyleLbl="node1" presStyleIdx="1" presStyleCnt="6">
        <dgm:presLayoutVars>
          <dgm:chMax val="1"/>
          <dgm:bulletEnabled val="1"/>
        </dgm:presLayoutVars>
      </dgm:prSet>
      <dgm:spPr/>
    </dgm:pt>
    <dgm:pt modelId="{6D4EF901-6AD7-4F00-BF7B-3924564CF8F9}" type="pres">
      <dgm:prSet presAssocID="{CE9A18F2-DD32-498D-834A-02A65467E5FB}" presName="descendantText" presStyleLbl="alignAccFollowNode1" presStyleIdx="1" presStyleCnt="6">
        <dgm:presLayoutVars>
          <dgm:bulletEnabled val="1"/>
        </dgm:presLayoutVars>
      </dgm:prSet>
      <dgm:spPr/>
    </dgm:pt>
    <dgm:pt modelId="{FDD8132D-E748-4DE5-871F-EB82D78AA313}" type="pres">
      <dgm:prSet presAssocID="{BB574BF3-A007-4F12-9F0A-8D6BDC062A2A}" presName="sp" presStyleCnt="0"/>
      <dgm:spPr/>
    </dgm:pt>
    <dgm:pt modelId="{6402D5A6-0B40-43E5-91B5-6101543EA43C}" type="pres">
      <dgm:prSet presAssocID="{B08335A1-7AE0-4696-AA23-95D37C01C412}" presName="linNode" presStyleCnt="0"/>
      <dgm:spPr/>
    </dgm:pt>
    <dgm:pt modelId="{168A6E90-4052-4919-AA5C-F9F747B1DFE8}" type="pres">
      <dgm:prSet presAssocID="{B08335A1-7AE0-4696-AA23-95D37C01C412}" presName="parentText" presStyleLbl="node1" presStyleIdx="2" presStyleCnt="6" custLinFactNeighborX="-551" custLinFactNeighborY="-1362">
        <dgm:presLayoutVars>
          <dgm:chMax val="1"/>
          <dgm:bulletEnabled val="1"/>
        </dgm:presLayoutVars>
      </dgm:prSet>
      <dgm:spPr/>
    </dgm:pt>
    <dgm:pt modelId="{CFE438D6-24B4-4A7B-9573-D6E33A1026B0}" type="pres">
      <dgm:prSet presAssocID="{B08335A1-7AE0-4696-AA23-95D37C01C412}" presName="descendantText" presStyleLbl="alignAccFollowNode1" presStyleIdx="2" presStyleCnt="6">
        <dgm:presLayoutVars>
          <dgm:bulletEnabled val="1"/>
        </dgm:presLayoutVars>
      </dgm:prSet>
      <dgm:spPr/>
    </dgm:pt>
    <dgm:pt modelId="{5918C6D1-CC06-497F-B693-7165F783FBD7}" type="pres">
      <dgm:prSet presAssocID="{8EF0ABB4-1220-478A-BDDF-4912FE6484C5}" presName="sp" presStyleCnt="0"/>
      <dgm:spPr/>
    </dgm:pt>
    <dgm:pt modelId="{9FC6D6A2-3BB8-4BD2-8295-0804CD4E0D3B}" type="pres">
      <dgm:prSet presAssocID="{CE26A13F-895B-4BF5-9669-75E521ECCC2B}" presName="linNode" presStyleCnt="0"/>
      <dgm:spPr/>
    </dgm:pt>
    <dgm:pt modelId="{BA1DFC24-3C63-4E5B-A741-FFE9F656D5CD}" type="pres">
      <dgm:prSet presAssocID="{CE26A13F-895B-4BF5-9669-75E521ECCC2B}" presName="parentText" presStyleLbl="node1" presStyleIdx="3" presStyleCnt="6">
        <dgm:presLayoutVars>
          <dgm:chMax val="1"/>
          <dgm:bulletEnabled val="1"/>
        </dgm:presLayoutVars>
      </dgm:prSet>
      <dgm:spPr/>
    </dgm:pt>
    <dgm:pt modelId="{59AAB5DD-DD39-4C76-BE47-844234342503}" type="pres">
      <dgm:prSet presAssocID="{CE26A13F-895B-4BF5-9669-75E521ECCC2B}" presName="descendantText" presStyleLbl="alignAccFollowNode1" presStyleIdx="3" presStyleCnt="6">
        <dgm:presLayoutVars>
          <dgm:bulletEnabled val="1"/>
        </dgm:presLayoutVars>
      </dgm:prSet>
      <dgm:spPr/>
    </dgm:pt>
    <dgm:pt modelId="{B76503F4-7FEF-4D85-B072-BB285CCF9FBD}" type="pres">
      <dgm:prSet presAssocID="{E0FEE583-22C4-41F7-878D-8287D7D39AB6}" presName="sp" presStyleCnt="0"/>
      <dgm:spPr/>
    </dgm:pt>
    <dgm:pt modelId="{6AB56940-430E-4311-BBC6-B2F0A1F4C0A9}" type="pres">
      <dgm:prSet presAssocID="{A722C3B8-6DC7-46FA-9562-03EB7E7BBFF0}" presName="linNode" presStyleCnt="0"/>
      <dgm:spPr/>
    </dgm:pt>
    <dgm:pt modelId="{359EC410-DAC5-4327-975A-D6E970E0BB19}" type="pres">
      <dgm:prSet presAssocID="{A722C3B8-6DC7-46FA-9562-03EB7E7BBFF0}" presName="parentText" presStyleLbl="node1" presStyleIdx="4" presStyleCnt="6">
        <dgm:presLayoutVars>
          <dgm:chMax val="1"/>
          <dgm:bulletEnabled val="1"/>
        </dgm:presLayoutVars>
      </dgm:prSet>
      <dgm:spPr/>
    </dgm:pt>
    <dgm:pt modelId="{F1691427-E554-45F2-B13A-34AA628C5DBA}" type="pres">
      <dgm:prSet presAssocID="{A722C3B8-6DC7-46FA-9562-03EB7E7BBFF0}" presName="descendantText" presStyleLbl="alignAccFollowNode1" presStyleIdx="4" presStyleCnt="6">
        <dgm:presLayoutVars>
          <dgm:bulletEnabled val="1"/>
        </dgm:presLayoutVars>
      </dgm:prSet>
      <dgm:spPr/>
    </dgm:pt>
    <dgm:pt modelId="{65D9CEE7-294F-4A36-BCF0-A7E9E2250BC6}" type="pres">
      <dgm:prSet presAssocID="{DE319991-02E8-4D38-9452-165CE13FE1D5}" presName="sp" presStyleCnt="0"/>
      <dgm:spPr/>
    </dgm:pt>
    <dgm:pt modelId="{8B28253D-9FF2-4268-88C5-5A0DFD883EE8}" type="pres">
      <dgm:prSet presAssocID="{41A2F912-9D9F-4F0D-8A5A-9386AB122E6D}" presName="linNode" presStyleCnt="0"/>
      <dgm:spPr/>
    </dgm:pt>
    <dgm:pt modelId="{DFBE6549-C42B-4591-92B3-C01AD783EE55}" type="pres">
      <dgm:prSet presAssocID="{41A2F912-9D9F-4F0D-8A5A-9386AB122E6D}" presName="parentText" presStyleLbl="node1" presStyleIdx="5" presStyleCnt="6">
        <dgm:presLayoutVars>
          <dgm:chMax val="1"/>
          <dgm:bulletEnabled val="1"/>
        </dgm:presLayoutVars>
      </dgm:prSet>
      <dgm:spPr/>
    </dgm:pt>
    <dgm:pt modelId="{4FEA8414-9ED3-4CFB-BB0D-ABD8E6E2F8B6}" type="pres">
      <dgm:prSet presAssocID="{41A2F912-9D9F-4F0D-8A5A-9386AB122E6D}" presName="descendantText" presStyleLbl="alignAccFollowNode1" presStyleIdx="5" presStyleCnt="6">
        <dgm:presLayoutVars>
          <dgm:bulletEnabled val="1"/>
        </dgm:presLayoutVars>
      </dgm:prSet>
      <dgm:spPr/>
    </dgm:pt>
  </dgm:ptLst>
  <dgm:cxnLst>
    <dgm:cxn modelId="{61079803-2333-41F7-9B8C-EF189D8338EB}" srcId="{41A2F912-9D9F-4F0D-8A5A-9386AB122E6D}" destId="{6A07CC73-BD0C-437A-8427-855AA9A51D79}" srcOrd="0" destOrd="0" parTransId="{5D239D04-D556-46E5-8BB4-E1C940DEA173}" sibTransId="{B7381E98-FA1A-4192-BE7F-D6A32FD13E2A}"/>
    <dgm:cxn modelId="{46370204-2E0B-4E64-A967-7C823D75C0B3}" type="presOf" srcId="{0544E982-DD62-484F-B0E1-0EC37E859E8E}" destId="{59AAB5DD-DD39-4C76-BE47-844234342503}" srcOrd="0" destOrd="0" presId="urn:microsoft.com/office/officeart/2005/8/layout/vList5"/>
    <dgm:cxn modelId="{F3E24207-803C-4C9B-B7DD-DA13C7174960}" srcId="{41A2F912-9D9F-4F0D-8A5A-9386AB122E6D}" destId="{A819B0A4-99FF-4528-A2D0-0A220F04BE52}" srcOrd="1" destOrd="0" parTransId="{7A5BB0EB-67B5-4532-A3F7-D46334EA68C5}" sibTransId="{44E1B2B2-7793-4E89-BFC4-D09620534D12}"/>
    <dgm:cxn modelId="{8A23A914-F6CC-4649-B194-EDA9E8B3C0CA}" type="presOf" srcId="{D3B9873E-C73D-44F3-A8EA-A42A93800EE3}" destId="{F1691427-E554-45F2-B13A-34AA628C5DBA}" srcOrd="0" destOrd="1" presId="urn:microsoft.com/office/officeart/2005/8/layout/vList5"/>
    <dgm:cxn modelId="{DA86C622-A71C-471B-9282-D6FCF9CB2BE4}" type="presOf" srcId="{A1299600-FC6E-45FE-B97B-102DE493D372}" destId="{B60FBD5C-3727-4AC3-87BD-AA068A271B3C}" srcOrd="0" destOrd="0" presId="urn:microsoft.com/office/officeart/2005/8/layout/vList5"/>
    <dgm:cxn modelId="{1F4A8133-FD95-43DA-AFD3-A27CD6C75E2B}" type="presOf" srcId="{5A8C4646-CCA3-4671-9689-35CECFF2F8F7}" destId="{2F956982-8D5C-40C4-8195-B56439AD156B}" srcOrd="0" destOrd="0" presId="urn:microsoft.com/office/officeart/2005/8/layout/vList5"/>
    <dgm:cxn modelId="{4D44193C-9FE8-420A-92AB-B37EFAFA69E3}" type="presOf" srcId="{E01053EB-E8DE-47A1-98E7-CF6B1EBAB5AD}" destId="{CFE438D6-24B4-4A7B-9573-D6E33A1026B0}" srcOrd="0" destOrd="0" presId="urn:microsoft.com/office/officeart/2005/8/layout/vList5"/>
    <dgm:cxn modelId="{801B0564-533F-4A36-9104-36261EA4152E}" srcId="{A1299600-FC6E-45FE-B97B-102DE493D372}" destId="{CE26A13F-895B-4BF5-9669-75E521ECCC2B}" srcOrd="3" destOrd="0" parTransId="{174A4096-621A-4630-9310-3A7565BF37C0}" sibTransId="{E0FEE583-22C4-41F7-878D-8287D7D39AB6}"/>
    <dgm:cxn modelId="{0CCC2844-0DBC-48D0-9F39-74464FCDCB10}" srcId="{CE9A18F2-DD32-498D-834A-02A65467E5FB}" destId="{FCE8AB42-052E-47D9-A5C9-7BE639BA2B5F}" srcOrd="0" destOrd="0" parTransId="{B9710737-43FC-4D27-B200-BC95E2D4AF6E}" sibTransId="{A17F3DAF-DEDD-4AB0-A957-98DF996DFCD8}"/>
    <dgm:cxn modelId="{23BA1D52-64B1-4A59-ADF7-8EB279E58B0B}" srcId="{A1299600-FC6E-45FE-B97B-102DE493D372}" destId="{41A2F912-9D9F-4F0D-8A5A-9386AB122E6D}" srcOrd="5" destOrd="0" parTransId="{D89440D0-C3F6-400A-9E9E-84B03396C5D1}" sibTransId="{6815BAE0-4C71-411C-B885-63E2D3A991F5}"/>
    <dgm:cxn modelId="{423AE452-94AA-41A2-91B6-E459B9C4ED71}" type="presOf" srcId="{28FAB671-9B53-4F49-B3C2-70FABEA3FFA7}" destId="{CFE438D6-24B4-4A7B-9573-D6E33A1026B0}" srcOrd="0" destOrd="1" presId="urn:microsoft.com/office/officeart/2005/8/layout/vList5"/>
    <dgm:cxn modelId="{0334BD77-F824-4F11-A4C5-06B3CF07BB73}" type="presOf" srcId="{CE9A18F2-DD32-498D-834A-02A65467E5FB}" destId="{5A949CAA-16B4-47CA-8350-739960DA2F53}" srcOrd="0" destOrd="0" presId="urn:microsoft.com/office/officeart/2005/8/layout/vList5"/>
    <dgm:cxn modelId="{4DED5D79-7E7C-4091-A19B-D07CA4E1AF00}" type="presOf" srcId="{A722C3B8-6DC7-46FA-9562-03EB7E7BBFF0}" destId="{359EC410-DAC5-4327-975A-D6E970E0BB19}" srcOrd="0" destOrd="0" presId="urn:microsoft.com/office/officeart/2005/8/layout/vList5"/>
    <dgm:cxn modelId="{AAEC927D-EACB-4B00-8897-D15037D90B5A}" type="presOf" srcId="{6A07CC73-BD0C-437A-8427-855AA9A51D79}" destId="{4FEA8414-9ED3-4CFB-BB0D-ABD8E6E2F8B6}" srcOrd="0" destOrd="0" presId="urn:microsoft.com/office/officeart/2005/8/layout/vList5"/>
    <dgm:cxn modelId="{D224188B-A8AB-440B-A869-C6FF1AA9EE38}" srcId="{A722C3B8-6DC7-46FA-9562-03EB7E7BBFF0}" destId="{D3B9873E-C73D-44F3-A8EA-A42A93800EE3}" srcOrd="1" destOrd="0" parTransId="{C6DDD282-F4F2-43AB-A15C-71A4F076EE72}" sibTransId="{7CA3FB6F-5FF8-4755-84E6-B9366F6E44BA}"/>
    <dgm:cxn modelId="{FC026992-AD8B-4BF5-B5E5-3E04BC8894AA}" type="presOf" srcId="{9656FDF4-6B4E-4F69-B027-81460889912E}" destId="{6D4EF901-6AD7-4F00-BF7B-3924564CF8F9}" srcOrd="0" destOrd="1" presId="urn:microsoft.com/office/officeart/2005/8/layout/vList5"/>
    <dgm:cxn modelId="{76DB3893-D8C6-4C12-99BD-D727C0D2BE7A}" type="presOf" srcId="{C7A69937-998D-4AD5-AF08-23E5172A82D0}" destId="{2110977E-CB72-4D8B-AA22-194893659913}" srcOrd="0" destOrd="0" presId="urn:microsoft.com/office/officeart/2005/8/layout/vList5"/>
    <dgm:cxn modelId="{CC7F0895-7636-43FD-91F2-D608BC23337D}" srcId="{A1299600-FC6E-45FE-B97B-102DE493D372}" destId="{A722C3B8-6DC7-46FA-9562-03EB7E7BBFF0}" srcOrd="4" destOrd="0" parTransId="{C684FCD8-BBF8-45BC-B475-E23BBCD95BD4}" sibTransId="{DE319991-02E8-4D38-9452-165CE13FE1D5}"/>
    <dgm:cxn modelId="{938FFE9F-157A-40C7-A625-0F0570F482D5}" type="presOf" srcId="{41A2F912-9D9F-4F0D-8A5A-9386AB122E6D}" destId="{DFBE6549-C42B-4591-92B3-C01AD783EE55}" srcOrd="0" destOrd="0" presId="urn:microsoft.com/office/officeart/2005/8/layout/vList5"/>
    <dgm:cxn modelId="{D65176AA-60EF-49B4-B7BB-A85478B60502}" srcId="{C7A69937-998D-4AD5-AF08-23E5172A82D0}" destId="{5A8C4646-CCA3-4671-9689-35CECFF2F8F7}" srcOrd="0" destOrd="0" parTransId="{AF0BDF6A-E7B9-496C-AEB5-9A2D98F5FA5C}" sibTransId="{747969A6-F0CE-4772-9938-B9F04D4FE292}"/>
    <dgm:cxn modelId="{1C8890AF-D10A-4D71-8705-E7D98C4D2E18}" type="presOf" srcId="{B158D134-10A9-4238-8837-8A4A948584FA}" destId="{2F956982-8D5C-40C4-8195-B56439AD156B}" srcOrd="0" destOrd="1" presId="urn:microsoft.com/office/officeart/2005/8/layout/vList5"/>
    <dgm:cxn modelId="{EBF8C8AF-1FBD-4326-858E-537F491377DE}" type="presOf" srcId="{5B0AAE2C-EB85-441C-8076-0678347DDB8A}" destId="{F1691427-E554-45F2-B13A-34AA628C5DBA}" srcOrd="0" destOrd="0" presId="urn:microsoft.com/office/officeart/2005/8/layout/vList5"/>
    <dgm:cxn modelId="{280BCFAF-2B89-411C-9724-676B68A69B87}" type="presOf" srcId="{B08335A1-7AE0-4696-AA23-95D37C01C412}" destId="{168A6E90-4052-4919-AA5C-F9F747B1DFE8}" srcOrd="0" destOrd="0" presId="urn:microsoft.com/office/officeart/2005/8/layout/vList5"/>
    <dgm:cxn modelId="{E8342AB1-B1BC-415C-A852-2314686F9F96}" srcId="{A1299600-FC6E-45FE-B97B-102DE493D372}" destId="{CE9A18F2-DD32-498D-834A-02A65467E5FB}" srcOrd="1" destOrd="0" parTransId="{ED013EF0-4167-4EE9-A093-0915CFEE8652}" sibTransId="{BB574BF3-A007-4F12-9F0A-8D6BDC062A2A}"/>
    <dgm:cxn modelId="{36CFE9B3-68C0-4EFD-B144-8A8F52EE0ACF}" srcId="{B08335A1-7AE0-4696-AA23-95D37C01C412}" destId="{28FAB671-9B53-4F49-B3C2-70FABEA3FFA7}" srcOrd="1" destOrd="0" parTransId="{ED64D88B-F064-47C7-BDA7-38E73E66716B}" sibTransId="{677D039E-A15F-4D1F-AC4D-CECE13373A2A}"/>
    <dgm:cxn modelId="{D95700B4-B614-4FFD-B873-159E3430B4B7}" srcId="{C7A69937-998D-4AD5-AF08-23E5172A82D0}" destId="{B158D134-10A9-4238-8837-8A4A948584FA}" srcOrd="1" destOrd="0" parTransId="{59DA8731-7C5A-4121-A5CB-279DE90A2385}" sibTransId="{81047632-E728-4560-A0BD-0729F92A3E28}"/>
    <dgm:cxn modelId="{2EA118B4-BD74-4180-830E-A24FFFB3FF3F}" srcId="{CE26A13F-895B-4BF5-9669-75E521ECCC2B}" destId="{44DD5910-35A1-45C8-92AC-D462BB696814}" srcOrd="1" destOrd="0" parTransId="{A48D7F40-66D5-4F16-8296-9001206A2867}" sibTransId="{10CED719-461A-4F0E-B745-1A38F2409F85}"/>
    <dgm:cxn modelId="{E7A3CCBC-D3C7-476A-A9EC-DF7F5AC0BE18}" srcId="{CE9A18F2-DD32-498D-834A-02A65467E5FB}" destId="{9656FDF4-6B4E-4F69-B027-81460889912E}" srcOrd="1" destOrd="0" parTransId="{01DA4B9B-A8DC-4545-92D9-68A613413910}" sibTransId="{198E963D-84FB-4E44-BEB6-A31EB2808B4B}"/>
    <dgm:cxn modelId="{ECC5D7BF-AD14-4705-AD23-CBE3062AE429}" type="presOf" srcId="{A819B0A4-99FF-4528-A2D0-0A220F04BE52}" destId="{4FEA8414-9ED3-4CFB-BB0D-ABD8E6E2F8B6}" srcOrd="0" destOrd="1" presId="urn:microsoft.com/office/officeart/2005/8/layout/vList5"/>
    <dgm:cxn modelId="{CAB295C0-EED6-4E88-BB89-E0DF090BC73C}" srcId="{A722C3B8-6DC7-46FA-9562-03EB7E7BBFF0}" destId="{5B0AAE2C-EB85-441C-8076-0678347DDB8A}" srcOrd="0" destOrd="0" parTransId="{310E56C3-2754-4811-B010-9E1D36EB8823}" sibTransId="{AAA60497-C7DB-400F-8F4C-62B55AEFF992}"/>
    <dgm:cxn modelId="{606B83CA-99AE-4FB5-92B7-4EB63D9D6180}" type="presOf" srcId="{FCE8AB42-052E-47D9-A5C9-7BE639BA2B5F}" destId="{6D4EF901-6AD7-4F00-BF7B-3924564CF8F9}" srcOrd="0" destOrd="0" presId="urn:microsoft.com/office/officeart/2005/8/layout/vList5"/>
    <dgm:cxn modelId="{FC8BC2DD-5E82-4000-886C-27E77950610F}" srcId="{CE26A13F-895B-4BF5-9669-75E521ECCC2B}" destId="{0544E982-DD62-484F-B0E1-0EC37E859E8E}" srcOrd="0" destOrd="0" parTransId="{4C09D86A-AC68-4D45-A82E-0486259B7CFF}" sibTransId="{7F538848-D187-4B60-94AB-DB254A1ACE29}"/>
    <dgm:cxn modelId="{2799F7E4-6863-4F6E-9EFC-4658ADACE365}" srcId="{A1299600-FC6E-45FE-B97B-102DE493D372}" destId="{C7A69937-998D-4AD5-AF08-23E5172A82D0}" srcOrd="0" destOrd="0" parTransId="{BE3B374F-F4D0-4D66-A60B-9BAAF5F9DEDA}" sibTransId="{1E9711D3-E840-4389-9AEE-BACE52FD6C61}"/>
    <dgm:cxn modelId="{C9FB64EB-1E57-4607-B4EB-E2AA30C4ECB1}" type="presOf" srcId="{CE26A13F-895B-4BF5-9669-75E521ECCC2B}" destId="{BA1DFC24-3C63-4E5B-A741-FFE9F656D5CD}" srcOrd="0" destOrd="0" presId="urn:microsoft.com/office/officeart/2005/8/layout/vList5"/>
    <dgm:cxn modelId="{6A6D17EC-CC8F-4F5A-9BC8-AA5CBB01FF0C}" srcId="{A1299600-FC6E-45FE-B97B-102DE493D372}" destId="{B08335A1-7AE0-4696-AA23-95D37C01C412}" srcOrd="2" destOrd="0" parTransId="{D1687C5D-C6A5-4CE5-BDAF-F76BD7605C7E}" sibTransId="{8EF0ABB4-1220-478A-BDDF-4912FE6484C5}"/>
    <dgm:cxn modelId="{3191E6EC-854E-4C35-9608-DC0560EEA44D}" type="presOf" srcId="{44DD5910-35A1-45C8-92AC-D462BB696814}" destId="{59AAB5DD-DD39-4C76-BE47-844234342503}" srcOrd="0" destOrd="1" presId="urn:microsoft.com/office/officeart/2005/8/layout/vList5"/>
    <dgm:cxn modelId="{D6D266F0-41C7-4E20-8BF8-2003FE9C4F36}" srcId="{B08335A1-7AE0-4696-AA23-95D37C01C412}" destId="{E01053EB-E8DE-47A1-98E7-CF6B1EBAB5AD}" srcOrd="0" destOrd="0" parTransId="{BF9B13F4-441A-428C-AE4E-EF5FAE60029C}" sibTransId="{6D01DE51-933B-4675-89F2-6AC2E8A59473}"/>
    <dgm:cxn modelId="{D3B987F8-C7DC-45D2-8FCF-F62598C61F3B}" type="presParOf" srcId="{B60FBD5C-3727-4AC3-87BD-AA068A271B3C}" destId="{42A01DB7-CCC0-4DEE-8D6E-567ABE667362}" srcOrd="0" destOrd="0" presId="urn:microsoft.com/office/officeart/2005/8/layout/vList5"/>
    <dgm:cxn modelId="{2049BDD1-611B-48DD-82F6-E648FCBE0F1E}" type="presParOf" srcId="{42A01DB7-CCC0-4DEE-8D6E-567ABE667362}" destId="{2110977E-CB72-4D8B-AA22-194893659913}" srcOrd="0" destOrd="0" presId="urn:microsoft.com/office/officeart/2005/8/layout/vList5"/>
    <dgm:cxn modelId="{40BD94BE-C2CD-4B2E-9340-FA80743DEFD5}" type="presParOf" srcId="{42A01DB7-CCC0-4DEE-8D6E-567ABE667362}" destId="{2F956982-8D5C-40C4-8195-B56439AD156B}" srcOrd="1" destOrd="0" presId="urn:microsoft.com/office/officeart/2005/8/layout/vList5"/>
    <dgm:cxn modelId="{4965F32A-2DD1-416C-80D1-7DC2B08BCC7F}" type="presParOf" srcId="{B60FBD5C-3727-4AC3-87BD-AA068A271B3C}" destId="{2F1C524B-7F67-4E97-8DA5-E195EBDB47A7}" srcOrd="1" destOrd="0" presId="urn:microsoft.com/office/officeart/2005/8/layout/vList5"/>
    <dgm:cxn modelId="{4EAD52CF-41EF-456E-B701-8107DE17FAA1}" type="presParOf" srcId="{B60FBD5C-3727-4AC3-87BD-AA068A271B3C}" destId="{72BF8D48-AB2B-48F9-A5E8-BD9DC1B0CAAA}" srcOrd="2" destOrd="0" presId="urn:microsoft.com/office/officeart/2005/8/layout/vList5"/>
    <dgm:cxn modelId="{D704F974-57B7-4A46-930B-0B8CE3942C32}" type="presParOf" srcId="{72BF8D48-AB2B-48F9-A5E8-BD9DC1B0CAAA}" destId="{5A949CAA-16B4-47CA-8350-739960DA2F53}" srcOrd="0" destOrd="0" presId="urn:microsoft.com/office/officeart/2005/8/layout/vList5"/>
    <dgm:cxn modelId="{C32CFC80-7481-444E-8144-9A26B47DAA03}" type="presParOf" srcId="{72BF8D48-AB2B-48F9-A5E8-BD9DC1B0CAAA}" destId="{6D4EF901-6AD7-4F00-BF7B-3924564CF8F9}" srcOrd="1" destOrd="0" presId="urn:microsoft.com/office/officeart/2005/8/layout/vList5"/>
    <dgm:cxn modelId="{0A0A3732-516C-4BD5-B204-10A7E8F8F16B}" type="presParOf" srcId="{B60FBD5C-3727-4AC3-87BD-AA068A271B3C}" destId="{FDD8132D-E748-4DE5-871F-EB82D78AA313}" srcOrd="3" destOrd="0" presId="urn:microsoft.com/office/officeart/2005/8/layout/vList5"/>
    <dgm:cxn modelId="{1A5FE16E-0590-4739-88CE-B922229217E8}" type="presParOf" srcId="{B60FBD5C-3727-4AC3-87BD-AA068A271B3C}" destId="{6402D5A6-0B40-43E5-91B5-6101543EA43C}" srcOrd="4" destOrd="0" presId="urn:microsoft.com/office/officeart/2005/8/layout/vList5"/>
    <dgm:cxn modelId="{7BC4E891-2798-413F-848C-0F0480B7B114}" type="presParOf" srcId="{6402D5A6-0B40-43E5-91B5-6101543EA43C}" destId="{168A6E90-4052-4919-AA5C-F9F747B1DFE8}" srcOrd="0" destOrd="0" presId="urn:microsoft.com/office/officeart/2005/8/layout/vList5"/>
    <dgm:cxn modelId="{69F6096C-77DB-4D2F-9F08-DB03F813263B}" type="presParOf" srcId="{6402D5A6-0B40-43E5-91B5-6101543EA43C}" destId="{CFE438D6-24B4-4A7B-9573-D6E33A1026B0}" srcOrd="1" destOrd="0" presId="urn:microsoft.com/office/officeart/2005/8/layout/vList5"/>
    <dgm:cxn modelId="{53C41187-C45C-4AD3-9450-C18F0ED8DCEC}" type="presParOf" srcId="{B60FBD5C-3727-4AC3-87BD-AA068A271B3C}" destId="{5918C6D1-CC06-497F-B693-7165F783FBD7}" srcOrd="5" destOrd="0" presId="urn:microsoft.com/office/officeart/2005/8/layout/vList5"/>
    <dgm:cxn modelId="{6A0B94A6-E9D2-4623-925C-975C91FE0582}" type="presParOf" srcId="{B60FBD5C-3727-4AC3-87BD-AA068A271B3C}" destId="{9FC6D6A2-3BB8-4BD2-8295-0804CD4E0D3B}" srcOrd="6" destOrd="0" presId="urn:microsoft.com/office/officeart/2005/8/layout/vList5"/>
    <dgm:cxn modelId="{DAA66101-7A6A-440D-A7A2-2A4994A866B1}" type="presParOf" srcId="{9FC6D6A2-3BB8-4BD2-8295-0804CD4E0D3B}" destId="{BA1DFC24-3C63-4E5B-A741-FFE9F656D5CD}" srcOrd="0" destOrd="0" presId="urn:microsoft.com/office/officeart/2005/8/layout/vList5"/>
    <dgm:cxn modelId="{196D8B9A-ACE7-4973-9981-8B17390EF755}" type="presParOf" srcId="{9FC6D6A2-3BB8-4BD2-8295-0804CD4E0D3B}" destId="{59AAB5DD-DD39-4C76-BE47-844234342503}" srcOrd="1" destOrd="0" presId="urn:microsoft.com/office/officeart/2005/8/layout/vList5"/>
    <dgm:cxn modelId="{D9867E00-FF9A-41FF-8B17-A9BE774867C7}" type="presParOf" srcId="{B60FBD5C-3727-4AC3-87BD-AA068A271B3C}" destId="{B76503F4-7FEF-4D85-B072-BB285CCF9FBD}" srcOrd="7" destOrd="0" presId="urn:microsoft.com/office/officeart/2005/8/layout/vList5"/>
    <dgm:cxn modelId="{5C3C154E-A2BD-459E-9CE0-983452F51E07}" type="presParOf" srcId="{B60FBD5C-3727-4AC3-87BD-AA068A271B3C}" destId="{6AB56940-430E-4311-BBC6-B2F0A1F4C0A9}" srcOrd="8" destOrd="0" presId="urn:microsoft.com/office/officeart/2005/8/layout/vList5"/>
    <dgm:cxn modelId="{C5175714-E769-40B0-8E80-F6C0936EAC83}" type="presParOf" srcId="{6AB56940-430E-4311-BBC6-B2F0A1F4C0A9}" destId="{359EC410-DAC5-4327-975A-D6E970E0BB19}" srcOrd="0" destOrd="0" presId="urn:microsoft.com/office/officeart/2005/8/layout/vList5"/>
    <dgm:cxn modelId="{1ECDCE09-6804-45E3-8DEA-70081CBD013E}" type="presParOf" srcId="{6AB56940-430E-4311-BBC6-B2F0A1F4C0A9}" destId="{F1691427-E554-45F2-B13A-34AA628C5DBA}" srcOrd="1" destOrd="0" presId="urn:microsoft.com/office/officeart/2005/8/layout/vList5"/>
    <dgm:cxn modelId="{0FDB134A-CD68-4AAC-B561-2633E5D16E80}" type="presParOf" srcId="{B60FBD5C-3727-4AC3-87BD-AA068A271B3C}" destId="{65D9CEE7-294F-4A36-BCF0-A7E9E2250BC6}" srcOrd="9" destOrd="0" presId="urn:microsoft.com/office/officeart/2005/8/layout/vList5"/>
    <dgm:cxn modelId="{7637F5B7-150C-4389-9F38-5FCC0A8C9960}" type="presParOf" srcId="{B60FBD5C-3727-4AC3-87BD-AA068A271B3C}" destId="{8B28253D-9FF2-4268-88C5-5A0DFD883EE8}" srcOrd="10" destOrd="0" presId="urn:microsoft.com/office/officeart/2005/8/layout/vList5"/>
    <dgm:cxn modelId="{A632E453-0A24-472B-BA34-6DE771DA5667}" type="presParOf" srcId="{8B28253D-9FF2-4268-88C5-5A0DFD883EE8}" destId="{DFBE6549-C42B-4591-92B3-C01AD783EE55}" srcOrd="0" destOrd="0" presId="urn:microsoft.com/office/officeart/2005/8/layout/vList5"/>
    <dgm:cxn modelId="{AA857BC8-6AD2-4146-94DD-F794277F19BA}" type="presParOf" srcId="{8B28253D-9FF2-4268-88C5-5A0DFD883EE8}" destId="{4FEA8414-9ED3-4CFB-BB0D-ABD8E6E2F8B6}" srcOrd="1" destOrd="0" presId="urn:microsoft.com/office/officeart/2005/8/layout/vList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956982-8D5C-40C4-8195-B56439AD156B}">
      <dsp:nvSpPr>
        <dsp:cNvPr id="0" name=""/>
        <dsp:cNvSpPr/>
      </dsp:nvSpPr>
      <dsp:spPr>
        <a:xfrm rot="5400000">
          <a:off x="3934727" y="-1677843"/>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Av. Guilherme Ferreira, 402 - Centro</a:t>
          </a:r>
        </a:p>
        <a:p>
          <a:pPr marL="57150" lvl="1" indent="-57150" algn="l" defTabSz="444500">
            <a:lnSpc>
              <a:spcPct val="90000"/>
            </a:lnSpc>
            <a:spcBef>
              <a:spcPct val="0"/>
            </a:spcBef>
            <a:spcAft>
              <a:spcPct val="15000"/>
            </a:spcAft>
            <a:buChar char="•"/>
          </a:pPr>
          <a:r>
            <a:rPr lang="pt-BR" sz="1000" kern="1200"/>
            <a:t>Telefone: 3316-0500     Distância: 29,6 Km 0 leito UTI</a:t>
          </a:r>
        </a:p>
      </dsp:txBody>
      <dsp:txXfrm rot="-5400000">
        <a:off x="2200493" y="78042"/>
        <a:ext cx="3890334" cy="400213"/>
      </dsp:txXfrm>
    </dsp:sp>
    <dsp:sp modelId="{2110977E-CB72-4D8B-AA22-194893659913}">
      <dsp:nvSpPr>
        <dsp:cNvPr id="0" name=""/>
        <dsp:cNvSpPr/>
      </dsp:nvSpPr>
      <dsp:spPr>
        <a:xfrm>
          <a:off x="0" y="952"/>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Clínica de Fraturas Uberaba</a:t>
          </a:r>
        </a:p>
      </dsp:txBody>
      <dsp:txXfrm>
        <a:off x="27063" y="28015"/>
        <a:ext cx="2146366" cy="500267"/>
      </dsp:txXfrm>
    </dsp:sp>
    <dsp:sp modelId="{6D4EF901-6AD7-4F00-BF7B-3924564CF8F9}">
      <dsp:nvSpPr>
        <dsp:cNvPr id="0" name=""/>
        <dsp:cNvSpPr/>
      </dsp:nvSpPr>
      <dsp:spPr>
        <a:xfrm rot="5400000">
          <a:off x="3934727" y="-1095730"/>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Rua do Carmo, 378 - Abadia</a:t>
          </a:r>
        </a:p>
        <a:p>
          <a:pPr marL="57150" lvl="1" indent="-57150" algn="l" defTabSz="444500">
            <a:lnSpc>
              <a:spcPct val="90000"/>
            </a:lnSpc>
            <a:spcBef>
              <a:spcPct val="0"/>
            </a:spcBef>
            <a:spcAft>
              <a:spcPct val="15000"/>
            </a:spcAft>
            <a:buChar char="•"/>
          </a:pPr>
          <a:r>
            <a:rPr lang="pt-BR" sz="1000" kern="1200"/>
            <a:t>Telefone: 3333-9765     Distância: 29,3 km  0 leito UTI</a:t>
          </a:r>
        </a:p>
      </dsp:txBody>
      <dsp:txXfrm rot="-5400000">
        <a:off x="2200493" y="660155"/>
        <a:ext cx="3890334" cy="400213"/>
      </dsp:txXfrm>
    </dsp:sp>
    <dsp:sp modelId="{5A949CAA-16B4-47CA-8350-739960DA2F53}">
      <dsp:nvSpPr>
        <dsp:cNvPr id="0" name=""/>
        <dsp:cNvSpPr/>
      </dsp:nvSpPr>
      <dsp:spPr>
        <a:xfrm>
          <a:off x="0" y="583065"/>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Clínica Ox</a:t>
          </a:r>
        </a:p>
      </dsp:txBody>
      <dsp:txXfrm>
        <a:off x="27063" y="610128"/>
        <a:ext cx="2146366" cy="500267"/>
      </dsp:txXfrm>
    </dsp:sp>
    <dsp:sp modelId="{CFE438D6-24B4-4A7B-9573-D6E33A1026B0}">
      <dsp:nvSpPr>
        <dsp:cNvPr id="0" name=""/>
        <dsp:cNvSpPr/>
      </dsp:nvSpPr>
      <dsp:spPr>
        <a:xfrm rot="5400000">
          <a:off x="3934727" y="-513616"/>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Rua Getúlio Guaritá,330 - Abadia</a:t>
          </a:r>
        </a:p>
        <a:p>
          <a:pPr marL="57150" lvl="1" indent="-57150" algn="l" defTabSz="444500">
            <a:lnSpc>
              <a:spcPct val="90000"/>
            </a:lnSpc>
            <a:spcBef>
              <a:spcPct val="0"/>
            </a:spcBef>
            <a:spcAft>
              <a:spcPct val="15000"/>
            </a:spcAft>
            <a:buChar char="•"/>
          </a:pPr>
          <a:r>
            <a:rPr lang="pt-BR" sz="1000" kern="1200"/>
            <a:t>Telefone: 3318-5530     Distância: 29,9 km  10 leitos UTI</a:t>
          </a:r>
        </a:p>
      </dsp:txBody>
      <dsp:txXfrm rot="-5400000">
        <a:off x="2200493" y="1242269"/>
        <a:ext cx="3890334" cy="400213"/>
      </dsp:txXfrm>
    </dsp:sp>
    <dsp:sp modelId="{168A6E90-4052-4919-AA5C-F9F747B1DFE8}">
      <dsp:nvSpPr>
        <dsp:cNvPr id="0" name=""/>
        <dsp:cNvSpPr/>
      </dsp:nvSpPr>
      <dsp:spPr>
        <a:xfrm>
          <a:off x="0" y="1157628"/>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Hospital Escola</a:t>
          </a:r>
        </a:p>
      </dsp:txBody>
      <dsp:txXfrm>
        <a:off x="27063" y="1184691"/>
        <a:ext cx="2146366" cy="500267"/>
      </dsp:txXfrm>
    </dsp:sp>
    <dsp:sp modelId="{59AAB5DD-DD39-4C76-BE47-844234342503}">
      <dsp:nvSpPr>
        <dsp:cNvPr id="0" name=""/>
        <dsp:cNvSpPr/>
      </dsp:nvSpPr>
      <dsp:spPr>
        <a:xfrm rot="5400000">
          <a:off x="3934727" y="68496"/>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Av. Santos Dumont, 409 - Centro</a:t>
          </a:r>
        </a:p>
        <a:p>
          <a:pPr marL="57150" lvl="1" indent="-57150" algn="l" defTabSz="444500">
            <a:lnSpc>
              <a:spcPct val="90000"/>
            </a:lnSpc>
            <a:spcBef>
              <a:spcPct val="0"/>
            </a:spcBef>
            <a:spcAft>
              <a:spcPct val="15000"/>
            </a:spcAft>
            <a:buChar char="•"/>
          </a:pPr>
          <a:r>
            <a:rPr lang="pt-BR" sz="1000" kern="1200"/>
            <a:t>Telefone: 3334-8400     Distância: 30,2 km  0 leito UTI</a:t>
          </a:r>
        </a:p>
      </dsp:txBody>
      <dsp:txXfrm rot="-5400000">
        <a:off x="2200493" y="1824382"/>
        <a:ext cx="3890334" cy="400213"/>
      </dsp:txXfrm>
    </dsp:sp>
    <dsp:sp modelId="{BA1DFC24-3C63-4E5B-A741-FFE9F656D5CD}">
      <dsp:nvSpPr>
        <dsp:cNvPr id="0" name=""/>
        <dsp:cNvSpPr/>
      </dsp:nvSpPr>
      <dsp:spPr>
        <a:xfrm>
          <a:off x="0" y="1747292"/>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Hospital Santa Lúcia</a:t>
          </a:r>
        </a:p>
      </dsp:txBody>
      <dsp:txXfrm>
        <a:off x="27063" y="1774355"/>
        <a:ext cx="2146366" cy="500267"/>
      </dsp:txXfrm>
    </dsp:sp>
    <dsp:sp modelId="{F1691427-E554-45F2-B13A-34AA628C5DBA}">
      <dsp:nvSpPr>
        <dsp:cNvPr id="0" name=""/>
        <dsp:cNvSpPr/>
      </dsp:nvSpPr>
      <dsp:spPr>
        <a:xfrm rot="5400000">
          <a:off x="3934727" y="650610"/>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Rua Constituição, 751 - Abadia</a:t>
          </a:r>
        </a:p>
        <a:p>
          <a:pPr marL="57150" lvl="1" indent="-57150" algn="l" defTabSz="444500">
            <a:lnSpc>
              <a:spcPct val="90000"/>
            </a:lnSpc>
            <a:spcBef>
              <a:spcPct val="0"/>
            </a:spcBef>
            <a:spcAft>
              <a:spcPct val="15000"/>
            </a:spcAft>
            <a:buChar char="•"/>
          </a:pPr>
          <a:r>
            <a:rPr lang="pt-BR" sz="1000" kern="1200"/>
            <a:t>Telefone: 3318-9200     Distância 29,7 km  10 leitos UTI</a:t>
          </a:r>
        </a:p>
      </dsp:txBody>
      <dsp:txXfrm rot="-5400000">
        <a:off x="2200493" y="2406496"/>
        <a:ext cx="3890334" cy="400213"/>
      </dsp:txXfrm>
    </dsp:sp>
    <dsp:sp modelId="{359EC410-DAC5-4327-975A-D6E970E0BB19}">
      <dsp:nvSpPr>
        <dsp:cNvPr id="0" name=""/>
        <dsp:cNvSpPr/>
      </dsp:nvSpPr>
      <dsp:spPr>
        <a:xfrm>
          <a:off x="0" y="2329406"/>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Hospital  Unimed</a:t>
          </a:r>
        </a:p>
      </dsp:txBody>
      <dsp:txXfrm>
        <a:off x="27063" y="2356469"/>
        <a:ext cx="2146366" cy="500267"/>
      </dsp:txXfrm>
    </dsp:sp>
    <dsp:sp modelId="{4FEA8414-9ED3-4CFB-BB0D-ABD8E6E2F8B6}">
      <dsp:nvSpPr>
        <dsp:cNvPr id="0" name=""/>
        <dsp:cNvSpPr/>
      </dsp:nvSpPr>
      <dsp:spPr>
        <a:xfrm rot="5400000">
          <a:off x="3934727" y="1232723"/>
          <a:ext cx="443515" cy="3911985"/>
        </a:xfrm>
        <a:prstGeom prst="round2SameRect">
          <a:avLst/>
        </a:prstGeom>
        <a:solidFill>
          <a:schemeClr val="accent5">
            <a:alpha val="90000"/>
            <a:tint val="40000"/>
            <a:hueOff val="0"/>
            <a:satOff val="0"/>
            <a:lumOff val="0"/>
            <a:alphaOff val="0"/>
          </a:schemeClr>
        </a:solidFill>
        <a:ln w="25400" cap="flat" cmpd="sng" algn="ctr">
          <a:solidFill>
            <a:schemeClr val="accent5">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pt-BR" sz="1000" kern="1200"/>
            <a:t>Av. Santos Dumont, 2191 - Santa Maria</a:t>
          </a:r>
        </a:p>
        <a:p>
          <a:pPr marL="57150" lvl="1" indent="-57150" algn="l" defTabSz="444500">
            <a:lnSpc>
              <a:spcPct val="90000"/>
            </a:lnSpc>
            <a:spcBef>
              <a:spcPct val="0"/>
            </a:spcBef>
            <a:spcAft>
              <a:spcPct val="15000"/>
            </a:spcAft>
            <a:buChar char="•"/>
          </a:pPr>
          <a:r>
            <a:rPr lang="pt-BR" sz="1000" kern="1200"/>
            <a:t>Telefone: 2103-6100     Distância: 29,2 km 10 leitos UTI</a:t>
          </a:r>
        </a:p>
      </dsp:txBody>
      <dsp:txXfrm rot="-5400000">
        <a:off x="2200493" y="2988609"/>
        <a:ext cx="3890334" cy="400213"/>
      </dsp:txXfrm>
    </dsp:sp>
    <dsp:sp modelId="{DFBE6549-C42B-4591-92B3-C01AD783EE55}">
      <dsp:nvSpPr>
        <dsp:cNvPr id="0" name=""/>
        <dsp:cNvSpPr/>
      </dsp:nvSpPr>
      <dsp:spPr>
        <a:xfrm>
          <a:off x="0" y="2911519"/>
          <a:ext cx="2200492" cy="554393"/>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28575" rIns="57150" bIns="28575" numCol="1" spcCol="1270" anchor="ctr" anchorCtr="0">
          <a:noAutofit/>
        </a:bodyPr>
        <a:lstStyle/>
        <a:p>
          <a:pPr marL="0" lvl="0" indent="0" algn="ctr" defTabSz="666750">
            <a:lnSpc>
              <a:spcPct val="90000"/>
            </a:lnSpc>
            <a:spcBef>
              <a:spcPct val="0"/>
            </a:spcBef>
            <a:spcAft>
              <a:spcPct val="35000"/>
            </a:spcAft>
            <a:buNone/>
          </a:pPr>
          <a:r>
            <a:rPr lang="pt-BR" sz="1500" kern="1200"/>
            <a:t>Hospital São Marcos</a:t>
          </a:r>
        </a:p>
      </dsp:txBody>
      <dsp:txXfrm>
        <a:off x="27063" y="2938582"/>
        <a:ext cx="2146366" cy="50026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1D02231F47AE54099023DDF026A55A8" ma:contentTypeVersion="14" ma:contentTypeDescription="Crie um novo documento." ma:contentTypeScope="" ma:versionID="1b66926143542601adb22cde72b397cd">
  <xsd:schema xmlns:xsd="http://www.w3.org/2001/XMLSchema" xmlns:xs="http://www.w3.org/2001/XMLSchema" xmlns:p="http://schemas.microsoft.com/office/2006/metadata/properties" xmlns:ns2="8860f697-5a5c-4cbf-b59e-8c6d619d35a7" xmlns:ns3="d183f5ff-6e5a-4ac9-a1aa-fb0bc849dcc7" targetNamespace="http://schemas.microsoft.com/office/2006/metadata/properties" ma:root="true" ma:fieldsID="2871d7eab77c345d89b7c8754160542e" ns2:_="" ns3:_="">
    <xsd:import namespace="8860f697-5a5c-4cbf-b59e-8c6d619d35a7"/>
    <xsd:import namespace="d183f5ff-6e5a-4ac9-a1aa-fb0bc849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0f697-5a5c-4cbf-b59e-8c6d619d3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f5094613-3108-4029-a284-db005dc636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83f5ff-6e5a-4ac9-a1aa-fb0bc849dc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a615dd-d8a3-408d-8789-6d8c80aca24d}" ma:internalName="TaxCatchAll" ma:showField="CatchAllData" ma:web="d183f5ff-6e5a-4ac9-a1aa-fb0bc849dc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60f697-5a5c-4cbf-b59e-8c6d619d35a7">
      <Terms xmlns="http://schemas.microsoft.com/office/infopath/2007/PartnerControls"/>
    </lcf76f155ced4ddcb4097134ff3c332f>
    <TaxCatchAll xmlns="d183f5ff-6e5a-4ac9-a1aa-fb0bc849dcc7" xsi:nil="true"/>
  </documentManagement>
</p:properties>
</file>

<file path=customXml/itemProps1.xml><?xml version="1.0" encoding="utf-8"?>
<ds:datastoreItem xmlns:ds="http://schemas.openxmlformats.org/officeDocument/2006/customXml" ds:itemID="{468CD9E4-3553-4ABA-A313-32F42BFB6CEB}">
  <ds:schemaRefs>
    <ds:schemaRef ds:uri="http://schemas.microsoft.com/sharepoint/v3/contenttype/forms"/>
  </ds:schemaRefs>
</ds:datastoreItem>
</file>

<file path=customXml/itemProps2.xml><?xml version="1.0" encoding="utf-8"?>
<ds:datastoreItem xmlns:ds="http://schemas.openxmlformats.org/officeDocument/2006/customXml" ds:itemID="{4F52E2F5-E006-4DDA-AF49-76412BA69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0f697-5a5c-4cbf-b59e-8c6d619d35a7"/>
    <ds:schemaRef ds:uri="d183f5ff-6e5a-4ac9-a1aa-fb0bc849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345D25-CDCA-4AFD-A880-C628E9780A79}">
  <ds:schemaRefs>
    <ds:schemaRef ds:uri="http://purl.org/dc/dcmitype/"/>
    <ds:schemaRef ds:uri="http://purl.org/dc/terms/"/>
    <ds:schemaRef ds:uri="http://schemas.microsoft.com/office/2006/metadata/properties"/>
    <ds:schemaRef ds:uri="d183f5ff-6e5a-4ac9-a1aa-fb0bc849dcc7"/>
    <ds:schemaRef ds:uri="8860f697-5a5c-4cbf-b59e-8c6d619d35a7"/>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docMetadata/LabelInfo.xml><?xml version="1.0" encoding="utf-8"?>
<clbl:labelList xmlns:clbl="http://schemas.microsoft.com/office/2020/mipLabelMetadata">
  <clbl:label id="{1273caf7-13b7-4a89-b44a-3967d45ba0a9}" enabled="0" method="" siteId="{1273caf7-13b7-4a89-b44a-3967d45ba0a9}" removed="1"/>
</clbl:labelList>
</file>

<file path=docProps/app.xml><?xml version="1.0" encoding="utf-8"?>
<Properties xmlns="http://schemas.openxmlformats.org/officeDocument/2006/extended-properties" xmlns:vt="http://schemas.openxmlformats.org/officeDocument/2006/docPropsVTypes">
  <Template>Normal.dotm</Template>
  <TotalTime>147</TotalTime>
  <Pages>11</Pages>
  <Words>3324</Words>
  <Characters>18950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Eliane Milhorim da Silva</dc:creator>
  <cp:lastModifiedBy>CHIOVATO, FRANCIELLE O  - Uberaba 3, MG</cp:lastModifiedBy>
  <cp:revision>113</cp:revision>
  <cp:lastPrinted>2025-08-25T18:27:00Z</cp:lastPrinted>
  <dcterms:created xsi:type="dcterms:W3CDTF">2023-05-11T12:12:00Z</dcterms:created>
  <dcterms:modified xsi:type="dcterms:W3CDTF">2025-08-25T18:27:00Z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0x01010041D02231F47AE54099023DDF026A55A8</vt:lpwstr>
  </property>
</Properties>
</file>